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jc w:val="center"/>
        <w:rPr>
          <w:rFonts w:ascii="宋体" w:hAnsi="宋体"/>
          <w:b/>
          <w:color w:val="000000"/>
          <w:sz w:val="48"/>
        </w:rPr>
      </w:pPr>
    </w:p>
    <w:p>
      <w:pPr>
        <w:jc w:val="center"/>
        <w:rPr>
          <w:rFonts w:ascii="宋体" w:hAnsi="宋体"/>
          <w:b/>
          <w:color w:val="000000"/>
          <w:sz w:val="48"/>
        </w:rPr>
      </w:pPr>
    </w:p>
    <w:p>
      <w:pPr>
        <w:adjustRightInd w:val="0"/>
        <w:snapToGrid w:val="0"/>
        <w:jc w:val="center"/>
        <w:textAlignment w:val="baseline"/>
        <w:rPr>
          <w:rFonts w:ascii="黑体" w:hAnsi="黑体" w:eastAsia="黑体"/>
          <w:b/>
          <w:color w:val="000000"/>
          <w:sz w:val="52"/>
          <w:szCs w:val="52"/>
        </w:rPr>
      </w:pPr>
      <w:r>
        <w:rPr>
          <w:rFonts w:hint="eastAsia" w:ascii="黑体" w:hAnsi="黑体" w:eastAsia="黑体"/>
          <w:b/>
          <w:color w:val="000000"/>
          <w:sz w:val="52"/>
          <w:szCs w:val="52"/>
        </w:rPr>
        <w:t>无锡健特药业有限公司</w:t>
      </w:r>
      <w:r>
        <w:rPr>
          <w:rFonts w:ascii="黑体" w:hAnsi="黑体" w:eastAsia="黑体"/>
          <w:b/>
          <w:color w:val="000000"/>
          <w:sz w:val="52"/>
          <w:szCs w:val="52"/>
        </w:rPr>
        <w:br w:type="textWrapping"/>
      </w:r>
      <w:r>
        <w:rPr>
          <w:rFonts w:hint="eastAsia" w:ascii="黑体" w:hAnsi="黑体" w:eastAsia="黑体"/>
          <w:b/>
          <w:color w:val="000000"/>
          <w:sz w:val="52"/>
          <w:szCs w:val="52"/>
        </w:rPr>
        <w:t>原辅料及系列包装材料采购</w:t>
      </w:r>
    </w:p>
    <w:p>
      <w:pPr>
        <w:jc w:val="center"/>
        <w:rPr>
          <w:rFonts w:ascii="楷体_GB2312" w:eastAsia="楷体_GB2312"/>
          <w:b/>
          <w:color w:val="000000"/>
          <w:sz w:val="52"/>
          <w:szCs w:val="52"/>
        </w:rPr>
      </w:pPr>
    </w:p>
    <w:p>
      <w:pPr>
        <w:jc w:val="center"/>
        <w:rPr>
          <w:rFonts w:ascii="楷体_GB2312" w:eastAsia="楷体_GB2312"/>
          <w:b/>
          <w:color w:val="000000"/>
          <w:sz w:val="72"/>
        </w:rPr>
      </w:pPr>
    </w:p>
    <w:p>
      <w:pPr>
        <w:jc w:val="center"/>
        <w:rPr>
          <w:rFonts w:ascii="楷体_GB2312" w:eastAsia="楷体_GB2312"/>
          <w:b/>
          <w:color w:val="000000"/>
          <w:sz w:val="72"/>
        </w:rPr>
      </w:pPr>
      <w:r>
        <w:rPr>
          <w:rFonts w:hint="eastAsia" w:ascii="楷体_GB2312" w:eastAsia="楷体_GB2312"/>
          <w:b/>
          <w:color w:val="000000"/>
          <w:sz w:val="72"/>
        </w:rPr>
        <w:t>招标文件</w:t>
      </w:r>
    </w:p>
    <w:p>
      <w:pPr>
        <w:spacing w:beforeLines="100" w:line="360" w:lineRule="auto"/>
        <w:jc w:val="center"/>
        <w:rPr>
          <w:rFonts w:ascii="楷体_GB2312" w:eastAsia="楷体_GB2312"/>
          <w:b/>
          <w:sz w:val="52"/>
          <w:szCs w:val="52"/>
        </w:rPr>
      </w:pPr>
    </w:p>
    <w:p>
      <w:pPr>
        <w:rPr>
          <w:sz w:val="32"/>
          <w:szCs w:val="32"/>
        </w:rPr>
      </w:pPr>
      <w:r>
        <w:rPr>
          <w:rFonts w:hint="eastAsia"/>
          <w:sz w:val="32"/>
          <w:szCs w:val="32"/>
        </w:rPr>
        <w:t>标书编号：JT</w:t>
      </w:r>
      <w:r>
        <w:rPr>
          <w:sz w:val="32"/>
          <w:szCs w:val="32"/>
        </w:rPr>
        <w:t>-1</w:t>
      </w:r>
      <w:r>
        <w:rPr>
          <w:rFonts w:hint="eastAsia"/>
          <w:sz w:val="32"/>
          <w:szCs w:val="32"/>
        </w:rPr>
        <w:t>9</w:t>
      </w:r>
      <w:r>
        <w:rPr>
          <w:sz w:val="32"/>
          <w:szCs w:val="32"/>
        </w:rPr>
        <w:t>0</w:t>
      </w:r>
      <w:r>
        <w:rPr>
          <w:rFonts w:hint="eastAsia"/>
          <w:sz w:val="32"/>
          <w:szCs w:val="32"/>
        </w:rPr>
        <w:t>09</w:t>
      </w:r>
    </w:p>
    <w:p>
      <w:pPr>
        <w:rPr>
          <w:sz w:val="32"/>
          <w:szCs w:val="32"/>
        </w:rPr>
      </w:pPr>
      <w:r>
        <w:rPr>
          <w:rFonts w:hint="eastAsia"/>
          <w:sz w:val="32"/>
          <w:szCs w:val="32"/>
        </w:rPr>
        <w:t>招标名称：标签</w:t>
      </w:r>
    </w:p>
    <w:p>
      <w:pPr>
        <w:rPr>
          <w:sz w:val="32"/>
          <w:szCs w:val="32"/>
        </w:rPr>
      </w:pPr>
      <w:r>
        <w:rPr>
          <w:rFonts w:hint="eastAsia"/>
          <w:sz w:val="32"/>
          <w:szCs w:val="32"/>
        </w:rPr>
        <w:t>招标单位：无锡健特药业有限公司</w:t>
      </w:r>
    </w:p>
    <w:p>
      <w:pPr>
        <w:ind w:firstLine="3534" w:firstLineChars="1100"/>
        <w:rPr>
          <w:rFonts w:ascii="楷体_GB2312" w:eastAsia="楷体_GB2312"/>
          <w:b/>
          <w:color w:val="000000"/>
          <w:sz w:val="32"/>
        </w:rPr>
      </w:pPr>
    </w:p>
    <w:p>
      <w:pPr>
        <w:ind w:firstLine="3534" w:firstLineChars="1100"/>
        <w:rPr>
          <w:rFonts w:ascii="楷体_GB2312" w:eastAsia="楷体_GB2312"/>
          <w:b/>
          <w:color w:val="000000"/>
          <w:sz w:val="32"/>
        </w:rPr>
      </w:pPr>
    </w:p>
    <w:p>
      <w:pPr>
        <w:jc w:val="center"/>
        <w:rPr>
          <w:rFonts w:ascii="楷体_GB2312" w:eastAsia="楷体_GB2312"/>
          <w:b/>
          <w:color w:val="000000"/>
          <w:sz w:val="44"/>
        </w:rPr>
      </w:pPr>
      <w:r>
        <w:rPr>
          <w:rFonts w:hint="eastAsia" w:ascii="楷体_GB2312" w:eastAsia="楷体_GB2312"/>
          <w:b/>
          <w:color w:val="000000"/>
          <w:sz w:val="32"/>
        </w:rPr>
        <w:t>2019年</w:t>
      </w:r>
      <w:r>
        <w:rPr>
          <w:rFonts w:hint="eastAsia" w:ascii="楷体_GB2312" w:eastAsia="楷体_GB2312"/>
          <w:b/>
          <w:color w:val="000000"/>
          <w:sz w:val="32"/>
          <w:lang w:val="en-US" w:eastAsia="zh-CN"/>
        </w:rPr>
        <w:t>6</w:t>
      </w:r>
      <w:r>
        <w:rPr>
          <w:rFonts w:hint="eastAsia" w:ascii="楷体_GB2312" w:eastAsia="楷体_GB2312"/>
          <w:b/>
          <w:color w:val="000000"/>
          <w:sz w:val="32"/>
        </w:rPr>
        <w:t>月</w:t>
      </w:r>
    </w:p>
    <w:p>
      <w:pPr>
        <w:spacing w:line="360" w:lineRule="auto"/>
        <w:rPr>
          <w:rFonts w:ascii="楷体_GB2312" w:eastAsia="楷体_GB2312"/>
          <w:b/>
          <w:color w:val="000000"/>
          <w:sz w:val="32"/>
        </w:rPr>
      </w:pPr>
    </w:p>
    <w:p>
      <w:pPr>
        <w:jc w:val="center"/>
        <w:rPr>
          <w:rFonts w:ascii="黑体" w:eastAsia="黑体"/>
          <w:b/>
          <w:sz w:val="30"/>
        </w:rPr>
      </w:pPr>
      <w:bookmarkStart w:id="0" w:name="_Toc213127775"/>
    </w:p>
    <w:p>
      <w:pPr>
        <w:jc w:val="center"/>
        <w:rPr>
          <w:rFonts w:ascii="黑体" w:eastAsia="黑体"/>
          <w:b/>
          <w:sz w:val="30"/>
        </w:rPr>
      </w:pPr>
    </w:p>
    <w:p>
      <w:pPr>
        <w:jc w:val="center"/>
        <w:rPr>
          <w:rFonts w:ascii="黑体" w:eastAsia="黑体"/>
          <w:b/>
          <w:sz w:val="30"/>
        </w:rPr>
      </w:pPr>
    </w:p>
    <w:p>
      <w:pPr>
        <w:jc w:val="center"/>
        <w:rPr>
          <w:rFonts w:ascii="黑体" w:eastAsia="黑体"/>
          <w:b/>
          <w:sz w:val="30"/>
        </w:rPr>
      </w:pPr>
    </w:p>
    <w:p>
      <w:pPr>
        <w:jc w:val="center"/>
        <w:rPr>
          <w:rFonts w:ascii="黑体" w:eastAsia="黑体"/>
          <w:b/>
          <w:sz w:val="30"/>
        </w:rPr>
      </w:pPr>
    </w:p>
    <w:p>
      <w:pPr>
        <w:jc w:val="center"/>
        <w:rPr>
          <w:rFonts w:ascii="黑体" w:eastAsia="黑体"/>
          <w:b/>
          <w:sz w:val="30"/>
        </w:rPr>
      </w:pPr>
      <w:r>
        <w:rPr>
          <w:rFonts w:hint="eastAsia" w:ascii="黑体" w:eastAsia="黑体"/>
          <w:b/>
          <w:sz w:val="30"/>
        </w:rPr>
        <w:t>第一章  投标人须知</w:t>
      </w:r>
      <w:bookmarkEnd w:id="0"/>
    </w:p>
    <w:p>
      <w:pPr>
        <w:adjustRightInd w:val="0"/>
        <w:snapToGrid w:val="0"/>
        <w:outlineLvl w:val="1"/>
        <w:rPr>
          <w:rFonts w:ascii="黑体" w:eastAsia="黑体"/>
          <w:b/>
          <w:sz w:val="28"/>
        </w:rPr>
      </w:pPr>
      <w:bookmarkStart w:id="1" w:name="_Toc213127776"/>
      <w:r>
        <w:rPr>
          <w:rFonts w:hint="eastAsia" w:ascii="黑体" w:eastAsia="黑体"/>
          <w:b/>
          <w:sz w:val="28"/>
        </w:rPr>
        <w:t>一、总则</w:t>
      </w:r>
      <w:bookmarkEnd w:id="1"/>
    </w:p>
    <w:p>
      <w:pPr>
        <w:adjustRightInd w:val="0"/>
        <w:snapToGrid w:val="0"/>
        <w:ind w:firstLine="472" w:firstLineChars="196"/>
        <w:outlineLvl w:val="1"/>
        <w:rPr>
          <w:rFonts w:ascii="黑体" w:eastAsia="黑体"/>
          <w:b/>
          <w:sz w:val="24"/>
        </w:rPr>
      </w:pPr>
      <w:bookmarkStart w:id="2" w:name="_Toc213127777"/>
      <w:r>
        <w:rPr>
          <w:rFonts w:hint="eastAsia" w:ascii="黑体" w:eastAsia="黑体"/>
          <w:b/>
          <w:sz w:val="24"/>
        </w:rPr>
        <w:t>1.项目概况与定义</w:t>
      </w:r>
      <w:bookmarkEnd w:id="2"/>
    </w:p>
    <w:p>
      <w:pPr>
        <w:rPr>
          <w:rFonts w:ascii="新宋体" w:hAnsi="新宋体" w:eastAsia="新宋体" w:cs="宋体"/>
          <w:kern w:val="0"/>
          <w:sz w:val="24"/>
        </w:rPr>
      </w:pPr>
      <w:r>
        <w:rPr>
          <w:rFonts w:hint="eastAsia" w:ascii="新宋体" w:hAnsi="新宋体" w:eastAsia="新宋体" w:cs="宋体"/>
          <w:kern w:val="0"/>
          <w:sz w:val="24"/>
        </w:rPr>
        <w:t xml:space="preserve">1.1 项目名称：标签。 </w:t>
      </w:r>
    </w:p>
    <w:p>
      <w:pPr>
        <w:widowControl/>
        <w:snapToGrid w:val="0"/>
        <w:jc w:val="left"/>
        <w:rPr>
          <w:rFonts w:ascii="新宋体" w:hAnsi="新宋体" w:eastAsia="新宋体" w:cs="宋体"/>
          <w:kern w:val="0"/>
          <w:sz w:val="24"/>
        </w:rPr>
      </w:pPr>
      <w:r>
        <w:rPr>
          <w:rFonts w:hint="eastAsia" w:ascii="新宋体" w:hAnsi="新宋体" w:eastAsia="新宋体" w:cs="宋体"/>
          <w:kern w:val="0"/>
          <w:sz w:val="24"/>
        </w:rPr>
        <w:t>1.2 招标人：无锡健特药业有限公司</w:t>
      </w:r>
    </w:p>
    <w:p>
      <w:pPr>
        <w:widowControl/>
        <w:snapToGrid w:val="0"/>
        <w:ind w:firstLine="480" w:firstLineChars="200"/>
        <w:jc w:val="left"/>
        <w:rPr>
          <w:rFonts w:ascii="新宋体" w:hAnsi="新宋体" w:eastAsia="新宋体" w:cs="宋体"/>
          <w:kern w:val="0"/>
          <w:sz w:val="24"/>
        </w:rPr>
      </w:pPr>
      <w:r>
        <w:rPr>
          <w:rFonts w:hint="eastAsia" w:ascii="新宋体" w:hAnsi="新宋体" w:eastAsia="新宋体" w:cs="宋体"/>
          <w:kern w:val="0"/>
          <w:sz w:val="24"/>
        </w:rPr>
        <w:t>无锡健特药业有限公司地处风景秀丽、环境优美的无锡太湖国家旅游度假区，主要从事保健品（脑白金、黄金搭档、氨基酸加锌口服液、灵硒康口服液、黄金酒等）以及药品的研发和生产，拥有药品GMP证书、保健食品GMP证书、ISO9001质量管理体系证书及ISO14001环境管理体系证书，是国内保健食品的标杆企业。公司占地180亩，注册资本1.8亿元，资金雄厚，科技力量强大，拥有居国内先进水平、符合 GMP 标准的药品生产线及保健食品生产线，年生产胶囊13亿粒、片剂40亿片、口服液2400万瓶。</w:t>
      </w:r>
    </w:p>
    <w:p>
      <w:pPr>
        <w:widowControl/>
        <w:snapToGrid w:val="0"/>
        <w:jc w:val="left"/>
        <w:rPr>
          <w:rFonts w:ascii="新宋体" w:hAnsi="新宋体" w:eastAsia="新宋体" w:cs="宋体"/>
          <w:kern w:val="0"/>
          <w:sz w:val="24"/>
        </w:rPr>
      </w:pPr>
      <w:r>
        <w:rPr>
          <w:rFonts w:hint="eastAsia" w:ascii="新宋体" w:hAnsi="新宋体" w:eastAsia="新宋体" w:cs="宋体"/>
          <w:kern w:val="0"/>
          <w:sz w:val="24"/>
        </w:rPr>
        <w:t>1.3投标人：符合本次招标所规定的相应资格条件的潜在投标人。</w:t>
      </w:r>
    </w:p>
    <w:p>
      <w:pPr>
        <w:widowControl/>
        <w:snapToGrid w:val="0"/>
        <w:jc w:val="left"/>
        <w:rPr>
          <w:rFonts w:ascii="新宋体" w:hAnsi="新宋体" w:eastAsia="新宋体" w:cs="宋体"/>
          <w:kern w:val="0"/>
          <w:sz w:val="24"/>
        </w:rPr>
      </w:pPr>
      <w:r>
        <w:rPr>
          <w:rFonts w:hint="eastAsia" w:ascii="新宋体" w:hAnsi="新宋体" w:eastAsia="新宋体" w:cs="宋体"/>
          <w:kern w:val="0"/>
          <w:sz w:val="24"/>
        </w:rPr>
        <w:t>1.4中标人：最终被授予货物采购合同的投标人。</w:t>
      </w:r>
    </w:p>
    <w:p>
      <w:pPr>
        <w:widowControl/>
        <w:snapToGrid w:val="0"/>
        <w:jc w:val="left"/>
        <w:rPr>
          <w:rFonts w:ascii="新宋体" w:hAnsi="新宋体" w:eastAsia="新宋体" w:cs="宋体"/>
          <w:kern w:val="0"/>
          <w:sz w:val="24"/>
        </w:rPr>
      </w:pPr>
      <w:r>
        <w:rPr>
          <w:rFonts w:hint="eastAsia" w:ascii="新宋体" w:hAnsi="新宋体" w:eastAsia="新宋体" w:cs="宋体"/>
          <w:kern w:val="0"/>
          <w:sz w:val="24"/>
        </w:rPr>
        <w:t>1.5招标编号：</w:t>
      </w:r>
      <w:r>
        <w:rPr>
          <w:rFonts w:hint="eastAsia"/>
          <w:b/>
          <w:sz w:val="32"/>
          <w:szCs w:val="32"/>
        </w:rPr>
        <w:t>JT</w:t>
      </w:r>
      <w:r>
        <w:rPr>
          <w:b/>
          <w:sz w:val="32"/>
          <w:szCs w:val="32"/>
        </w:rPr>
        <w:t>-1</w:t>
      </w:r>
      <w:r>
        <w:rPr>
          <w:rFonts w:hint="eastAsia"/>
          <w:b/>
          <w:sz w:val="32"/>
          <w:szCs w:val="32"/>
        </w:rPr>
        <w:t>9</w:t>
      </w:r>
      <w:r>
        <w:rPr>
          <w:b/>
          <w:sz w:val="32"/>
          <w:szCs w:val="32"/>
        </w:rPr>
        <w:t>0</w:t>
      </w:r>
      <w:r>
        <w:rPr>
          <w:rFonts w:hint="eastAsia"/>
          <w:b/>
          <w:sz w:val="32"/>
          <w:szCs w:val="32"/>
        </w:rPr>
        <w:t>09</w:t>
      </w:r>
      <w:r>
        <w:rPr>
          <w:rFonts w:hint="eastAsia" w:ascii="新宋体" w:hAnsi="新宋体" w:eastAsia="新宋体" w:cs="宋体"/>
          <w:kern w:val="0"/>
          <w:sz w:val="24"/>
        </w:rPr>
        <w:t>是本招标文件的编号。招标人将根据货物种类编列招标编号，不区分标的货物的具体规格型式参数和项目单位，将所有项目单位的所有同种类标的货物作为同一个招标编号的招标标的。招标编号由招标人编制。</w:t>
      </w:r>
    </w:p>
    <w:p>
      <w:pPr>
        <w:ind w:firstLine="472" w:firstLineChars="196"/>
        <w:outlineLvl w:val="2"/>
        <w:rPr>
          <w:rFonts w:ascii="黑体" w:eastAsia="黑体"/>
          <w:b/>
          <w:sz w:val="24"/>
        </w:rPr>
      </w:pPr>
      <w:bookmarkStart w:id="3" w:name="_Toc94175697"/>
      <w:bookmarkStart w:id="4" w:name="_Toc125451441"/>
      <w:bookmarkStart w:id="5" w:name="_Toc151054352"/>
      <w:bookmarkStart w:id="6" w:name="_Toc155763433"/>
      <w:bookmarkStart w:id="7" w:name="_Toc137103312"/>
      <w:bookmarkStart w:id="8" w:name="_Toc185233307"/>
      <w:bookmarkStart w:id="9" w:name="_Toc213127778"/>
      <w:r>
        <w:rPr>
          <w:rFonts w:hint="eastAsia" w:ascii="黑体" w:eastAsia="黑体"/>
          <w:b/>
          <w:sz w:val="24"/>
        </w:rPr>
        <w:t>2. 招标范围</w:t>
      </w:r>
      <w:bookmarkEnd w:id="3"/>
      <w:bookmarkEnd w:id="4"/>
      <w:bookmarkEnd w:id="5"/>
      <w:bookmarkEnd w:id="6"/>
      <w:bookmarkEnd w:id="7"/>
      <w:bookmarkEnd w:id="8"/>
      <w:bookmarkEnd w:id="9"/>
    </w:p>
    <w:p>
      <w:pPr>
        <w:widowControl/>
        <w:snapToGrid w:val="0"/>
        <w:jc w:val="left"/>
        <w:rPr>
          <w:rFonts w:ascii="新宋体" w:hAnsi="新宋体" w:eastAsia="新宋体" w:cs="宋体"/>
          <w:kern w:val="0"/>
          <w:sz w:val="24"/>
        </w:rPr>
      </w:pPr>
      <w:r>
        <w:rPr>
          <w:rFonts w:ascii="新宋体" w:hAnsi="新宋体" w:eastAsia="新宋体" w:cs="宋体"/>
          <w:kern w:val="0"/>
          <w:sz w:val="24"/>
        </w:rPr>
        <w:t>2.1</w:t>
      </w:r>
      <w:r>
        <w:rPr>
          <w:rFonts w:hint="eastAsia" w:ascii="新宋体" w:hAnsi="新宋体" w:eastAsia="新宋体" w:cs="宋体"/>
          <w:kern w:val="0"/>
          <w:sz w:val="24"/>
        </w:rPr>
        <w:t xml:space="preserve"> 招标货物详见《货物需求一览表》(附件5)。</w:t>
      </w:r>
    </w:p>
    <w:p>
      <w:pPr>
        <w:widowControl/>
        <w:snapToGrid w:val="0"/>
        <w:jc w:val="left"/>
        <w:rPr>
          <w:rFonts w:ascii="新宋体" w:hAnsi="新宋体" w:eastAsia="新宋体" w:cs="宋体"/>
          <w:kern w:val="0"/>
          <w:sz w:val="24"/>
        </w:rPr>
      </w:pPr>
      <w:r>
        <w:rPr>
          <w:rFonts w:hint="eastAsia" w:ascii="新宋体" w:hAnsi="新宋体" w:eastAsia="新宋体" w:cs="宋体"/>
          <w:kern w:val="0"/>
          <w:sz w:val="24"/>
        </w:rPr>
        <w:t>2.2 招标材料质量要求：</w:t>
      </w:r>
    </w:p>
    <w:p>
      <w:pPr>
        <w:widowControl/>
        <w:snapToGrid w:val="0"/>
        <w:jc w:val="left"/>
        <w:rPr>
          <w:rFonts w:ascii="新宋体" w:hAnsi="新宋体" w:eastAsia="新宋体" w:cs="宋体"/>
          <w:kern w:val="0"/>
          <w:sz w:val="24"/>
        </w:rPr>
      </w:pPr>
      <w:r>
        <w:rPr>
          <w:rFonts w:hint="eastAsia" w:ascii="新宋体" w:hAnsi="新宋体" w:eastAsia="新宋体" w:cs="宋体"/>
          <w:kern w:val="0"/>
          <w:sz w:val="24"/>
        </w:rPr>
        <w:t>供方产品质量应从生产环节到销售终端到消费者为止，应符合国家现行质量标准，且应能满足本公司产品使用要求。</w:t>
      </w:r>
    </w:p>
    <w:p>
      <w:pPr>
        <w:widowControl/>
        <w:snapToGrid w:val="0"/>
        <w:jc w:val="left"/>
        <w:rPr>
          <w:rFonts w:ascii="新宋体" w:hAnsi="新宋体" w:eastAsia="新宋体" w:cs="宋体"/>
          <w:kern w:val="0"/>
          <w:sz w:val="24"/>
        </w:rPr>
      </w:pPr>
      <w:r>
        <w:rPr>
          <w:rFonts w:hint="eastAsia" w:ascii="新宋体" w:hAnsi="新宋体" w:eastAsia="新宋体" w:cs="宋体"/>
          <w:kern w:val="0"/>
          <w:sz w:val="24"/>
        </w:rPr>
        <w:t>详细技术指标请参照本文第三章《技术要求》。</w:t>
      </w:r>
    </w:p>
    <w:p>
      <w:pPr>
        <w:widowControl/>
        <w:snapToGrid w:val="0"/>
        <w:jc w:val="left"/>
        <w:rPr>
          <w:rFonts w:ascii="新宋体" w:hAnsi="新宋体" w:eastAsia="新宋体" w:cs="宋体"/>
          <w:kern w:val="0"/>
          <w:sz w:val="24"/>
        </w:rPr>
      </w:pPr>
      <w:r>
        <w:rPr>
          <w:rFonts w:hint="eastAsia" w:ascii="新宋体" w:hAnsi="新宋体" w:eastAsia="新宋体" w:cs="宋体"/>
          <w:kern w:val="0"/>
          <w:sz w:val="24"/>
        </w:rPr>
        <w:t>2.3 招标材料数量：视本公司月计划确定。</w:t>
      </w:r>
    </w:p>
    <w:p>
      <w:pPr>
        <w:widowControl/>
        <w:snapToGrid w:val="0"/>
        <w:jc w:val="left"/>
        <w:rPr>
          <w:rFonts w:ascii="新宋体" w:hAnsi="新宋体" w:eastAsia="新宋体" w:cs="宋体"/>
          <w:kern w:val="0"/>
          <w:sz w:val="24"/>
        </w:rPr>
      </w:pPr>
      <w:r>
        <w:rPr>
          <w:rFonts w:hint="eastAsia" w:ascii="新宋体" w:hAnsi="新宋体" w:eastAsia="新宋体" w:cs="宋体"/>
          <w:kern w:val="0"/>
          <w:sz w:val="24"/>
        </w:rPr>
        <w:t>2.4 交货地点：无锡健特药业有限公司仓库（江苏省无锡市太湖国家旅游度假区南堤路88号）。</w:t>
      </w:r>
    </w:p>
    <w:p>
      <w:pPr>
        <w:ind w:firstLine="472" w:firstLineChars="196"/>
        <w:outlineLvl w:val="2"/>
        <w:rPr>
          <w:rFonts w:ascii="黑体" w:eastAsia="黑体"/>
          <w:b/>
          <w:sz w:val="24"/>
        </w:rPr>
      </w:pPr>
      <w:bookmarkStart w:id="10" w:name="_Toc213127779"/>
      <w:bookmarkStart w:id="11" w:name="_Toc94175698"/>
      <w:bookmarkStart w:id="12" w:name="_Toc125451442"/>
      <w:bookmarkStart w:id="13" w:name="_Toc137103313"/>
      <w:bookmarkStart w:id="14" w:name="_Toc151054353"/>
      <w:bookmarkStart w:id="15" w:name="_Toc155763434"/>
      <w:bookmarkStart w:id="16" w:name="_Toc185233308"/>
      <w:r>
        <w:rPr>
          <w:rFonts w:hint="eastAsia" w:ascii="黑体" w:eastAsia="黑体"/>
          <w:b/>
          <w:sz w:val="24"/>
        </w:rPr>
        <w:t>3. 投标人资格</w:t>
      </w:r>
      <w:bookmarkEnd w:id="10"/>
      <w:bookmarkEnd w:id="11"/>
      <w:bookmarkEnd w:id="12"/>
      <w:bookmarkEnd w:id="13"/>
      <w:bookmarkEnd w:id="14"/>
      <w:bookmarkEnd w:id="15"/>
      <w:bookmarkEnd w:id="16"/>
    </w:p>
    <w:p>
      <w:pPr>
        <w:widowControl/>
        <w:snapToGrid w:val="0"/>
        <w:jc w:val="left"/>
        <w:rPr>
          <w:rFonts w:ascii="新宋体" w:hAnsi="新宋体" w:eastAsia="新宋体" w:cs="宋体"/>
          <w:kern w:val="0"/>
          <w:sz w:val="24"/>
        </w:rPr>
      </w:pPr>
      <w:r>
        <w:rPr>
          <w:rFonts w:hint="eastAsia" w:ascii="新宋体" w:hAnsi="新宋体" w:eastAsia="新宋体" w:cs="宋体"/>
          <w:kern w:val="0"/>
          <w:sz w:val="24"/>
        </w:rPr>
        <w:t>投标人必须满足本条款中的所有资格要求：</w:t>
      </w:r>
    </w:p>
    <w:p>
      <w:pPr>
        <w:widowControl/>
        <w:snapToGrid w:val="0"/>
        <w:jc w:val="left"/>
        <w:rPr>
          <w:rFonts w:ascii="新宋体" w:hAnsi="新宋体" w:eastAsia="新宋体" w:cs="宋体"/>
          <w:kern w:val="0"/>
          <w:sz w:val="24"/>
        </w:rPr>
      </w:pPr>
      <w:r>
        <w:rPr>
          <w:rFonts w:hint="eastAsia" w:ascii="新宋体" w:hAnsi="新宋体" w:eastAsia="新宋体" w:cs="宋体"/>
          <w:kern w:val="0"/>
          <w:sz w:val="24"/>
        </w:rPr>
        <w:t>3.1 中华人民共和国境内注册的企业法人。</w:t>
      </w:r>
    </w:p>
    <w:p>
      <w:pPr>
        <w:widowControl/>
        <w:snapToGrid w:val="0"/>
        <w:jc w:val="left"/>
        <w:rPr>
          <w:rFonts w:ascii="新宋体" w:hAnsi="新宋体" w:eastAsia="新宋体" w:cs="宋体"/>
          <w:kern w:val="0"/>
          <w:sz w:val="24"/>
        </w:rPr>
      </w:pPr>
      <w:r>
        <w:rPr>
          <w:rFonts w:hint="eastAsia" w:ascii="新宋体" w:hAnsi="新宋体" w:eastAsia="新宋体" w:cs="宋体"/>
          <w:kern w:val="0"/>
          <w:sz w:val="24"/>
        </w:rPr>
        <w:t>3.2 本次招标制造商和其代理商以及代理商之间，只能有一家参与本招标的投标。</w:t>
      </w:r>
    </w:p>
    <w:p>
      <w:pPr>
        <w:widowControl/>
        <w:snapToGrid w:val="0"/>
        <w:jc w:val="left"/>
        <w:rPr>
          <w:rFonts w:ascii="新宋体" w:hAnsi="新宋体" w:eastAsia="新宋体" w:cs="宋体"/>
          <w:kern w:val="0"/>
          <w:sz w:val="24"/>
        </w:rPr>
      </w:pPr>
      <w:r>
        <w:rPr>
          <w:rFonts w:hint="eastAsia" w:ascii="新宋体" w:hAnsi="新宋体" w:eastAsia="新宋体" w:cs="宋体"/>
          <w:kern w:val="0"/>
          <w:sz w:val="24"/>
        </w:rPr>
        <w:t>3.3 投标人代表不是法定代表人的，须持有法定代表人授权委托书。</w:t>
      </w:r>
    </w:p>
    <w:p>
      <w:pPr>
        <w:widowControl/>
        <w:snapToGrid w:val="0"/>
        <w:jc w:val="left"/>
        <w:rPr>
          <w:rFonts w:ascii="新宋体" w:hAnsi="新宋体" w:eastAsia="新宋体" w:cs="宋体"/>
          <w:kern w:val="0"/>
          <w:sz w:val="24"/>
        </w:rPr>
      </w:pPr>
      <w:r>
        <w:rPr>
          <w:rFonts w:hint="eastAsia" w:ascii="新宋体" w:hAnsi="新宋体" w:eastAsia="新宋体" w:cs="宋体"/>
          <w:kern w:val="0"/>
          <w:sz w:val="24"/>
        </w:rPr>
        <w:t xml:space="preserve">3.4 </w:t>
      </w:r>
      <w:r>
        <w:rPr>
          <w:rFonts w:ascii="新宋体" w:hAnsi="新宋体" w:eastAsia="新宋体" w:cs="宋体"/>
          <w:kern w:val="0"/>
          <w:sz w:val="24"/>
        </w:rPr>
        <w:t>具有</w:t>
      </w:r>
      <w:r>
        <w:rPr>
          <w:rFonts w:hint="eastAsia" w:ascii="新宋体" w:hAnsi="新宋体" w:eastAsia="新宋体" w:cs="宋体"/>
          <w:kern w:val="0"/>
          <w:sz w:val="24"/>
        </w:rPr>
        <w:t>本次招标产品的</w:t>
      </w:r>
      <w:r>
        <w:rPr>
          <w:rFonts w:ascii="新宋体" w:hAnsi="新宋体" w:eastAsia="新宋体" w:cs="宋体"/>
          <w:kern w:val="0"/>
          <w:sz w:val="24"/>
        </w:rPr>
        <w:t>生产许可证</w:t>
      </w:r>
      <w:r>
        <w:rPr>
          <w:rFonts w:hint="eastAsia" w:ascii="新宋体" w:hAnsi="新宋体" w:eastAsia="新宋体" w:cs="宋体"/>
          <w:kern w:val="0"/>
          <w:sz w:val="24"/>
        </w:rPr>
        <w:t>或国家规定的认证机构颁发的认证证书以及国家权威检验检测独立机构出具的检验报告。</w:t>
      </w:r>
    </w:p>
    <w:p>
      <w:pPr>
        <w:widowControl/>
        <w:snapToGrid w:val="0"/>
        <w:jc w:val="left"/>
        <w:rPr>
          <w:rFonts w:ascii="新宋体" w:hAnsi="新宋体" w:eastAsia="新宋体" w:cs="宋体"/>
          <w:kern w:val="0"/>
          <w:sz w:val="24"/>
        </w:rPr>
      </w:pPr>
      <w:r>
        <w:rPr>
          <w:rFonts w:hint="eastAsia" w:ascii="新宋体" w:hAnsi="新宋体" w:eastAsia="新宋体" w:cs="宋体"/>
          <w:kern w:val="0"/>
          <w:sz w:val="24"/>
        </w:rPr>
        <w:t xml:space="preserve">3.5 </w:t>
      </w:r>
      <w:r>
        <w:rPr>
          <w:rFonts w:ascii="新宋体" w:hAnsi="新宋体" w:eastAsia="新宋体" w:cs="宋体"/>
          <w:kern w:val="0"/>
          <w:sz w:val="24"/>
        </w:rPr>
        <w:t>投标人应有良好的财务状况</w:t>
      </w:r>
      <w:r>
        <w:rPr>
          <w:rFonts w:hint="eastAsia" w:ascii="新宋体" w:hAnsi="新宋体" w:eastAsia="新宋体" w:cs="宋体"/>
          <w:kern w:val="0"/>
          <w:sz w:val="24"/>
        </w:rPr>
        <w:t>和商业信誉</w:t>
      </w:r>
      <w:r>
        <w:rPr>
          <w:rFonts w:ascii="新宋体" w:hAnsi="新宋体" w:eastAsia="新宋体" w:cs="宋体"/>
          <w:kern w:val="0"/>
          <w:sz w:val="24"/>
        </w:rPr>
        <w:t>。投标人</w:t>
      </w:r>
      <w:r>
        <w:rPr>
          <w:rFonts w:hint="eastAsia" w:ascii="新宋体" w:hAnsi="新宋体" w:eastAsia="新宋体" w:cs="宋体"/>
          <w:kern w:val="0"/>
          <w:sz w:val="24"/>
        </w:rPr>
        <w:t>没有处于被责令停业，财产被接管、冻结，破产状态。</w:t>
      </w:r>
    </w:p>
    <w:p>
      <w:pPr>
        <w:widowControl/>
        <w:snapToGrid w:val="0"/>
        <w:jc w:val="left"/>
        <w:rPr>
          <w:rFonts w:ascii="新宋体" w:hAnsi="新宋体" w:eastAsia="新宋体" w:cs="宋体"/>
          <w:kern w:val="0"/>
          <w:sz w:val="24"/>
        </w:rPr>
      </w:pPr>
      <w:r>
        <w:rPr>
          <w:rFonts w:hint="eastAsia" w:ascii="新宋体" w:hAnsi="新宋体" w:eastAsia="新宋体" w:cs="宋体"/>
          <w:kern w:val="0"/>
          <w:sz w:val="24"/>
        </w:rPr>
        <w:t>3.6 近5年所提供的同类货物未因该货物原因出现过事故（或出现过事故，但已采取了有效的整改措施，进行了善后处理，并得到验证）。</w:t>
      </w:r>
    </w:p>
    <w:p>
      <w:pPr>
        <w:widowControl/>
        <w:snapToGrid w:val="0"/>
        <w:jc w:val="left"/>
        <w:rPr>
          <w:rFonts w:ascii="新宋体" w:hAnsi="新宋体" w:eastAsia="新宋体" w:cs="宋体"/>
          <w:kern w:val="0"/>
          <w:sz w:val="24"/>
        </w:rPr>
      </w:pPr>
      <w:r>
        <w:rPr>
          <w:rFonts w:hint="eastAsia" w:ascii="新宋体" w:hAnsi="新宋体" w:eastAsia="新宋体" w:cs="宋体"/>
          <w:kern w:val="0"/>
          <w:sz w:val="24"/>
        </w:rPr>
        <w:t>3.7 近3年在国内货物供货合同执行过程中，未因严重质量问题而造成批量退货。</w:t>
      </w:r>
    </w:p>
    <w:p>
      <w:pPr>
        <w:widowControl/>
        <w:snapToGrid w:val="0"/>
        <w:jc w:val="left"/>
        <w:rPr>
          <w:rFonts w:ascii="新宋体" w:hAnsi="新宋体" w:eastAsia="新宋体" w:cs="宋体"/>
          <w:kern w:val="0"/>
          <w:sz w:val="24"/>
        </w:rPr>
      </w:pPr>
      <w:r>
        <w:rPr>
          <w:rFonts w:hint="eastAsia" w:ascii="新宋体" w:hAnsi="新宋体" w:eastAsia="新宋体" w:cs="宋体"/>
          <w:kern w:val="0"/>
          <w:sz w:val="24"/>
        </w:rPr>
        <w:t>3.8 如</w:t>
      </w:r>
      <w:r>
        <w:rPr>
          <w:rFonts w:ascii="新宋体" w:hAnsi="新宋体" w:eastAsia="新宋体" w:cs="宋体"/>
          <w:kern w:val="0"/>
          <w:sz w:val="24"/>
        </w:rPr>
        <w:t>具有ISO9000系列或等同质量保证体系认证书</w:t>
      </w:r>
      <w:r>
        <w:rPr>
          <w:rFonts w:hint="eastAsia" w:ascii="新宋体" w:hAnsi="新宋体" w:eastAsia="新宋体" w:cs="宋体"/>
          <w:kern w:val="0"/>
          <w:sz w:val="24"/>
        </w:rPr>
        <w:t>及年检记录，具有良好的售前、售后服务和产品品质控制的，在评标过程中将被加分。</w:t>
      </w:r>
    </w:p>
    <w:p>
      <w:pPr>
        <w:ind w:firstLine="482" w:firstLineChars="200"/>
        <w:outlineLvl w:val="2"/>
        <w:rPr>
          <w:rFonts w:ascii="黑体" w:eastAsia="黑体"/>
          <w:b/>
          <w:sz w:val="24"/>
        </w:rPr>
      </w:pPr>
      <w:bookmarkStart w:id="17" w:name="_Toc125451443"/>
      <w:bookmarkStart w:id="18" w:name="_Toc94175699"/>
      <w:bookmarkStart w:id="19" w:name="_Toc213127780"/>
      <w:bookmarkStart w:id="20" w:name="_Toc185233309"/>
      <w:bookmarkStart w:id="21" w:name="_Toc155763435"/>
      <w:bookmarkStart w:id="22" w:name="_Toc151054354"/>
      <w:bookmarkStart w:id="23" w:name="_Toc137103314"/>
      <w:r>
        <w:rPr>
          <w:rFonts w:hint="eastAsia" w:ascii="黑体" w:eastAsia="黑体"/>
          <w:b/>
          <w:sz w:val="24"/>
        </w:rPr>
        <w:t>4. 投标提示</w:t>
      </w:r>
      <w:bookmarkEnd w:id="17"/>
      <w:bookmarkEnd w:id="18"/>
      <w:bookmarkEnd w:id="19"/>
      <w:bookmarkEnd w:id="20"/>
      <w:bookmarkEnd w:id="21"/>
      <w:bookmarkEnd w:id="22"/>
      <w:bookmarkEnd w:id="23"/>
    </w:p>
    <w:p>
      <w:pPr>
        <w:widowControl/>
        <w:snapToGrid w:val="0"/>
        <w:jc w:val="left"/>
        <w:rPr>
          <w:rFonts w:ascii="新宋体" w:hAnsi="新宋体" w:eastAsia="新宋体" w:cs="宋体"/>
          <w:kern w:val="0"/>
          <w:sz w:val="24"/>
        </w:rPr>
      </w:pPr>
      <w:r>
        <w:rPr>
          <w:rFonts w:ascii="新宋体" w:hAnsi="新宋体" w:eastAsia="新宋体" w:cs="宋体"/>
          <w:kern w:val="0"/>
          <w:sz w:val="24"/>
        </w:rPr>
        <w:t>4.1</w:t>
      </w:r>
      <w:r>
        <w:rPr>
          <w:rFonts w:hint="eastAsia" w:ascii="新宋体" w:hAnsi="新宋体" w:eastAsia="新宋体" w:cs="宋体"/>
          <w:kern w:val="0"/>
          <w:sz w:val="24"/>
        </w:rPr>
        <w:t xml:space="preserve"> 响应本次招标的交货期时，投标人应充分考虑其当期最大剩余生产能力（最大剩余生产能力是指投标人的最大生产能力减去其已承接其他客户的订货和本次若中标后承接的其他订货所占用的生产能力）。投标人不应超过自己的最大剩余生产能力进行投标，否则将被视为违背商业信用和诚实的原则。</w:t>
      </w:r>
    </w:p>
    <w:p>
      <w:pPr>
        <w:widowControl/>
        <w:snapToGrid w:val="0"/>
        <w:jc w:val="left"/>
        <w:rPr>
          <w:rFonts w:ascii="新宋体" w:hAnsi="新宋体" w:eastAsia="新宋体" w:cs="宋体"/>
          <w:kern w:val="0"/>
          <w:sz w:val="24"/>
        </w:rPr>
      </w:pPr>
      <w:r>
        <w:rPr>
          <w:rFonts w:ascii="新宋体" w:hAnsi="新宋体" w:eastAsia="新宋体" w:cs="宋体"/>
          <w:kern w:val="0"/>
          <w:sz w:val="24"/>
        </w:rPr>
        <w:t>4.2</w:t>
      </w:r>
      <w:r>
        <w:rPr>
          <w:rFonts w:hint="eastAsia" w:ascii="新宋体" w:hAnsi="新宋体" w:eastAsia="新宋体" w:cs="宋体"/>
          <w:kern w:val="0"/>
          <w:sz w:val="24"/>
        </w:rPr>
        <w:t xml:space="preserve"> 中标并签订合同，投标人应具备充足的资金，确保招标人工程项目所需货物的生产供货按合同规定顺利进行。投标人对任何因资金问题造成的推迟供货和其他履约缺陷承担相应责任。</w:t>
      </w:r>
    </w:p>
    <w:p>
      <w:pPr>
        <w:widowControl/>
        <w:snapToGrid w:val="0"/>
        <w:jc w:val="left"/>
        <w:rPr>
          <w:rFonts w:ascii="新宋体" w:hAnsi="新宋体" w:eastAsia="新宋体" w:cs="宋体"/>
          <w:kern w:val="0"/>
          <w:sz w:val="24"/>
        </w:rPr>
      </w:pPr>
      <w:r>
        <w:rPr>
          <w:rFonts w:ascii="新宋体" w:hAnsi="新宋体" w:eastAsia="新宋体" w:cs="宋体"/>
          <w:kern w:val="0"/>
          <w:sz w:val="24"/>
        </w:rPr>
        <w:t>4.</w:t>
      </w:r>
      <w:r>
        <w:rPr>
          <w:rFonts w:hint="eastAsia" w:ascii="新宋体" w:hAnsi="新宋体" w:eastAsia="新宋体" w:cs="宋体"/>
          <w:kern w:val="0"/>
          <w:sz w:val="24"/>
        </w:rPr>
        <w:t>3 招标人、投标人等参与招投标的各方，均应在货物招标、投标、采购、合同执行等过程中保持廉洁的道德水准，不得有腐败和欺诈行为。具体规定如下：</w:t>
      </w:r>
    </w:p>
    <w:p>
      <w:pPr>
        <w:widowControl/>
        <w:snapToGrid w:val="0"/>
        <w:jc w:val="left"/>
        <w:rPr>
          <w:rFonts w:ascii="新宋体" w:hAnsi="新宋体" w:eastAsia="新宋体" w:cs="宋体"/>
          <w:kern w:val="0"/>
          <w:sz w:val="24"/>
        </w:rPr>
      </w:pPr>
      <w:r>
        <w:rPr>
          <w:rFonts w:ascii="新宋体" w:hAnsi="新宋体" w:eastAsia="新宋体" w:cs="宋体"/>
          <w:kern w:val="0"/>
          <w:sz w:val="24"/>
        </w:rPr>
        <w:t>4.</w:t>
      </w:r>
      <w:r>
        <w:rPr>
          <w:rFonts w:hint="eastAsia" w:ascii="新宋体" w:hAnsi="新宋体" w:eastAsia="新宋体" w:cs="宋体"/>
          <w:kern w:val="0"/>
          <w:sz w:val="24"/>
        </w:rPr>
        <w:t>3.1 “腐败行为”指在招标采购和合同执行等过程中，为影响工作人员的行为而提供、给予、接受或索取任何有价物质的行为。</w:t>
      </w:r>
    </w:p>
    <w:p>
      <w:pPr>
        <w:widowControl/>
        <w:snapToGrid w:val="0"/>
        <w:jc w:val="left"/>
        <w:rPr>
          <w:rFonts w:ascii="新宋体" w:hAnsi="新宋体" w:eastAsia="新宋体" w:cs="宋体"/>
          <w:kern w:val="0"/>
          <w:sz w:val="24"/>
        </w:rPr>
      </w:pPr>
      <w:r>
        <w:rPr>
          <w:rFonts w:ascii="新宋体" w:hAnsi="新宋体" w:eastAsia="新宋体" w:cs="宋体"/>
          <w:kern w:val="0"/>
          <w:sz w:val="24"/>
        </w:rPr>
        <w:t>4.</w:t>
      </w:r>
      <w:r>
        <w:rPr>
          <w:rFonts w:hint="eastAsia" w:ascii="新宋体" w:hAnsi="新宋体" w:eastAsia="新宋体" w:cs="宋体"/>
          <w:kern w:val="0"/>
          <w:sz w:val="24"/>
        </w:rPr>
        <w:t>3.2 “欺诈行为”指为了影响招标采购和合同执行等过程而隐瞒事实、虚假投标，从而给招标人可能造成损害的行为，其中包括投标人之间的串通行为，旨在使投标价格成为人为的、无竞争性的价格，并使招标人无法从自由公开的竞争中受益。</w:t>
      </w:r>
    </w:p>
    <w:p>
      <w:pPr>
        <w:widowControl/>
        <w:snapToGrid w:val="0"/>
        <w:jc w:val="left"/>
        <w:rPr>
          <w:rFonts w:ascii="新宋体" w:hAnsi="新宋体" w:eastAsia="新宋体" w:cs="宋体"/>
          <w:kern w:val="0"/>
          <w:sz w:val="24"/>
        </w:rPr>
      </w:pPr>
      <w:r>
        <w:rPr>
          <w:rFonts w:hint="eastAsia" w:ascii="新宋体" w:hAnsi="新宋体" w:eastAsia="新宋体" w:cs="宋体"/>
          <w:kern w:val="0"/>
          <w:sz w:val="24"/>
        </w:rPr>
        <w:t>4.3.3  投标书中需附有《廉洁合作供应商承诺书》（附件4）并签字盖章，由招标人存档，作为招标、投标、采购、合同执行等过程中的约束条件。</w:t>
      </w:r>
    </w:p>
    <w:p>
      <w:pPr>
        <w:widowControl/>
        <w:snapToGrid w:val="0"/>
        <w:jc w:val="left"/>
        <w:rPr>
          <w:rFonts w:ascii="新宋体" w:hAnsi="新宋体" w:eastAsia="新宋体" w:cs="宋体"/>
          <w:kern w:val="0"/>
          <w:sz w:val="24"/>
        </w:rPr>
      </w:pPr>
      <w:r>
        <w:rPr>
          <w:rFonts w:ascii="新宋体" w:hAnsi="新宋体" w:eastAsia="新宋体" w:cs="宋体"/>
          <w:kern w:val="0"/>
          <w:sz w:val="24"/>
        </w:rPr>
        <w:t>4.</w:t>
      </w:r>
      <w:r>
        <w:rPr>
          <w:rFonts w:hint="eastAsia" w:ascii="新宋体" w:hAnsi="新宋体" w:eastAsia="新宋体" w:cs="宋体"/>
          <w:kern w:val="0"/>
          <w:sz w:val="24"/>
        </w:rPr>
        <w:t>3.4  如果投标人违反《廉洁合作供应商承诺书》或有腐败和欺诈行为，其本次投标将被废除，并无条件接受招标人对其投标资格的任何处置。如果被推荐的中标人有腐败和欺诈行为，招标人将有权取消其中标资格。</w:t>
      </w:r>
    </w:p>
    <w:p>
      <w:pPr>
        <w:widowControl/>
        <w:snapToGrid w:val="0"/>
        <w:jc w:val="left"/>
        <w:rPr>
          <w:rFonts w:ascii="新宋体" w:hAnsi="新宋体" w:eastAsia="新宋体" w:cs="宋体"/>
          <w:kern w:val="0"/>
          <w:sz w:val="24"/>
        </w:rPr>
      </w:pPr>
      <w:r>
        <w:rPr>
          <w:rFonts w:ascii="新宋体" w:hAnsi="新宋体" w:eastAsia="新宋体" w:cs="宋体"/>
          <w:kern w:val="0"/>
          <w:sz w:val="24"/>
        </w:rPr>
        <w:t>4.</w:t>
      </w:r>
      <w:r>
        <w:rPr>
          <w:rFonts w:hint="eastAsia" w:ascii="新宋体" w:hAnsi="新宋体" w:eastAsia="新宋体" w:cs="宋体"/>
          <w:kern w:val="0"/>
          <w:sz w:val="24"/>
        </w:rPr>
        <w:t>3.5  如果投标人在任何时候，被认定为违反《廉洁合作供应商承诺书》或有腐败和欺诈行为，将被宣布在一年内不得参与本公司相关项目的投标或被授予合同。</w:t>
      </w:r>
      <w:bookmarkStart w:id="24" w:name="_Toc155763436"/>
      <w:bookmarkStart w:id="25" w:name="_Toc151054355"/>
      <w:bookmarkStart w:id="26" w:name="_Toc137103315"/>
      <w:bookmarkStart w:id="27" w:name="_Toc125451444"/>
      <w:bookmarkStart w:id="28" w:name="_Toc94175700"/>
      <w:bookmarkStart w:id="29" w:name="_Toc185233310"/>
    </w:p>
    <w:p>
      <w:pPr>
        <w:widowControl/>
        <w:snapToGrid w:val="0"/>
        <w:jc w:val="left"/>
        <w:rPr>
          <w:rFonts w:ascii="新宋体" w:hAnsi="新宋体" w:eastAsia="新宋体" w:cs="宋体"/>
          <w:kern w:val="0"/>
          <w:sz w:val="24"/>
        </w:rPr>
      </w:pPr>
    </w:p>
    <w:bookmarkEnd w:id="24"/>
    <w:bookmarkEnd w:id="25"/>
    <w:bookmarkEnd w:id="26"/>
    <w:bookmarkEnd w:id="27"/>
    <w:bookmarkEnd w:id="28"/>
    <w:bookmarkEnd w:id="29"/>
    <w:p>
      <w:pPr>
        <w:outlineLvl w:val="1"/>
        <w:rPr>
          <w:rFonts w:hAnsi="宋体"/>
          <w:sz w:val="28"/>
        </w:rPr>
      </w:pPr>
      <w:bookmarkStart w:id="30" w:name="_Toc185233315"/>
      <w:bookmarkStart w:id="31" w:name="_Toc155763441"/>
      <w:bookmarkStart w:id="32" w:name="_Toc151054360"/>
      <w:bookmarkStart w:id="33" w:name="_Toc94175705"/>
      <w:bookmarkStart w:id="34" w:name="_Toc213127786"/>
      <w:bookmarkStart w:id="35" w:name="_Toc137103320"/>
      <w:bookmarkStart w:id="36" w:name="_Toc125451449"/>
      <w:r>
        <w:rPr>
          <w:rFonts w:hint="eastAsia" w:ascii="黑体" w:hAnsi="宋体" w:eastAsia="黑体"/>
          <w:b/>
          <w:sz w:val="28"/>
        </w:rPr>
        <w:t>二、 投标文件的编制</w:t>
      </w:r>
      <w:bookmarkEnd w:id="30"/>
      <w:bookmarkEnd w:id="31"/>
      <w:bookmarkEnd w:id="32"/>
      <w:bookmarkEnd w:id="33"/>
      <w:bookmarkEnd w:id="34"/>
      <w:bookmarkEnd w:id="35"/>
      <w:bookmarkEnd w:id="36"/>
      <w:bookmarkStart w:id="37" w:name="_Toc94175706"/>
      <w:bookmarkStart w:id="38" w:name="_Toc125451450"/>
      <w:bookmarkStart w:id="39" w:name="_Toc137103321"/>
      <w:bookmarkStart w:id="40" w:name="_Toc151054361"/>
      <w:bookmarkStart w:id="41" w:name="_Toc155763442"/>
      <w:bookmarkStart w:id="42" w:name="_Toc185233316"/>
    </w:p>
    <w:p>
      <w:pPr>
        <w:ind w:firstLine="482" w:firstLineChars="200"/>
        <w:outlineLvl w:val="2"/>
        <w:rPr>
          <w:rFonts w:ascii="黑体" w:eastAsia="黑体"/>
          <w:b/>
          <w:sz w:val="24"/>
        </w:rPr>
      </w:pPr>
      <w:bookmarkStart w:id="43" w:name="_Toc213127787"/>
      <w:r>
        <w:rPr>
          <w:rFonts w:hint="eastAsia" w:ascii="黑体" w:eastAsia="黑体"/>
          <w:b/>
          <w:sz w:val="24"/>
        </w:rPr>
        <w:t>5. 投标的语言及计量单位</w:t>
      </w:r>
      <w:bookmarkEnd w:id="37"/>
      <w:bookmarkEnd w:id="38"/>
      <w:bookmarkEnd w:id="39"/>
      <w:bookmarkEnd w:id="40"/>
      <w:bookmarkEnd w:id="41"/>
      <w:bookmarkEnd w:id="42"/>
      <w:bookmarkEnd w:id="43"/>
    </w:p>
    <w:p>
      <w:pPr>
        <w:widowControl/>
        <w:snapToGrid w:val="0"/>
        <w:jc w:val="left"/>
        <w:rPr>
          <w:rFonts w:ascii="新宋体" w:hAnsi="新宋体" w:eastAsia="新宋体" w:cs="宋体"/>
          <w:kern w:val="0"/>
          <w:sz w:val="24"/>
        </w:rPr>
      </w:pPr>
      <w:r>
        <w:rPr>
          <w:rFonts w:hint="eastAsia" w:ascii="新宋体" w:hAnsi="新宋体" w:eastAsia="新宋体" w:cs="宋体"/>
          <w:kern w:val="0"/>
          <w:sz w:val="24"/>
        </w:rPr>
        <w:t>5.1 投标人准备的投标文件和投标人与招标人之间往来的所有与招投标有关的函电文件均应以中文书写。如果投标人提供的文件资料以其它语言书写，投标人应将其译成中文作为投标的语言，如有差异，以中文为准。</w:t>
      </w:r>
    </w:p>
    <w:p>
      <w:pPr>
        <w:widowControl/>
        <w:snapToGrid w:val="0"/>
        <w:jc w:val="left"/>
        <w:rPr>
          <w:rFonts w:ascii="新宋体" w:hAnsi="新宋体" w:eastAsia="新宋体" w:cs="宋体"/>
          <w:kern w:val="0"/>
          <w:sz w:val="24"/>
        </w:rPr>
      </w:pPr>
      <w:r>
        <w:rPr>
          <w:rFonts w:hint="eastAsia" w:ascii="新宋体" w:hAnsi="新宋体" w:eastAsia="新宋体" w:cs="宋体"/>
          <w:kern w:val="0"/>
          <w:sz w:val="24"/>
        </w:rPr>
        <w:t>5.2 除在招标文件的技术规范中另有规定外，计量单位应使用中华人民共和国国家法定计量单位。</w:t>
      </w:r>
      <w:bookmarkStart w:id="44" w:name="_Toc94175707"/>
      <w:bookmarkStart w:id="45" w:name="_Toc125451451"/>
      <w:bookmarkStart w:id="46" w:name="_Toc137103322"/>
      <w:bookmarkStart w:id="47" w:name="_Toc151054362"/>
      <w:bookmarkStart w:id="48" w:name="_Toc155763443"/>
      <w:bookmarkStart w:id="49" w:name="_Toc185233317"/>
    </w:p>
    <w:p>
      <w:pPr>
        <w:ind w:firstLine="482" w:firstLineChars="200"/>
        <w:outlineLvl w:val="2"/>
        <w:rPr>
          <w:rFonts w:ascii="黑体" w:eastAsia="黑体"/>
          <w:b/>
          <w:sz w:val="24"/>
        </w:rPr>
      </w:pPr>
      <w:bookmarkStart w:id="50" w:name="_Toc213127788"/>
      <w:r>
        <w:rPr>
          <w:rFonts w:hint="eastAsia" w:ascii="黑体" w:eastAsia="黑体"/>
          <w:b/>
          <w:sz w:val="24"/>
        </w:rPr>
        <w:t>6. 投标文件的组成</w:t>
      </w:r>
      <w:bookmarkEnd w:id="44"/>
      <w:bookmarkEnd w:id="45"/>
      <w:bookmarkEnd w:id="46"/>
      <w:bookmarkEnd w:id="47"/>
      <w:bookmarkEnd w:id="48"/>
      <w:bookmarkEnd w:id="49"/>
      <w:bookmarkEnd w:id="50"/>
    </w:p>
    <w:p>
      <w:pPr>
        <w:widowControl/>
        <w:snapToGrid w:val="0"/>
        <w:jc w:val="left"/>
        <w:rPr>
          <w:rFonts w:ascii="新宋体" w:hAnsi="新宋体" w:eastAsia="新宋体" w:cs="宋体"/>
          <w:kern w:val="0"/>
          <w:sz w:val="24"/>
        </w:rPr>
      </w:pPr>
      <w:r>
        <w:rPr>
          <w:rFonts w:hint="eastAsia" w:ascii="新宋体" w:hAnsi="新宋体" w:eastAsia="新宋体" w:cs="宋体"/>
          <w:kern w:val="0"/>
          <w:sz w:val="24"/>
        </w:rPr>
        <w:t>6</w:t>
      </w:r>
      <w:r>
        <w:rPr>
          <w:rFonts w:ascii="新宋体" w:hAnsi="新宋体" w:eastAsia="新宋体" w:cs="宋体"/>
          <w:kern w:val="0"/>
          <w:sz w:val="24"/>
        </w:rPr>
        <w:t>.1</w:t>
      </w:r>
      <w:r>
        <w:rPr>
          <w:rFonts w:hint="eastAsia" w:ascii="新宋体" w:hAnsi="新宋体" w:eastAsia="新宋体" w:cs="宋体"/>
          <w:kern w:val="0"/>
          <w:sz w:val="24"/>
        </w:rPr>
        <w:t xml:space="preserve"> 投标人应按招标文件中的规定提供所有资料作为评委评分依据，包括但不限于：</w:t>
      </w:r>
    </w:p>
    <w:p>
      <w:pPr>
        <w:widowControl/>
        <w:snapToGrid w:val="0"/>
        <w:jc w:val="left"/>
        <w:rPr>
          <w:rFonts w:ascii="新宋体" w:hAnsi="新宋体" w:eastAsia="新宋体" w:cs="宋体"/>
          <w:kern w:val="0"/>
          <w:sz w:val="24"/>
        </w:rPr>
      </w:pPr>
      <w:r>
        <w:rPr>
          <w:rFonts w:hint="eastAsia" w:ascii="新宋体" w:hAnsi="新宋体" w:eastAsia="新宋体" w:cs="宋体"/>
          <w:kern w:val="0"/>
          <w:sz w:val="24"/>
        </w:rPr>
        <w:t>（1）投标函（附件1）；</w:t>
      </w:r>
    </w:p>
    <w:p>
      <w:pPr>
        <w:widowControl/>
        <w:snapToGrid w:val="0"/>
        <w:jc w:val="left"/>
        <w:rPr>
          <w:rFonts w:ascii="新宋体" w:hAnsi="新宋体" w:eastAsia="新宋体" w:cs="宋体"/>
          <w:kern w:val="0"/>
          <w:sz w:val="24"/>
        </w:rPr>
      </w:pPr>
      <w:r>
        <w:rPr>
          <w:rFonts w:hint="eastAsia" w:ascii="新宋体" w:hAnsi="新宋体" w:eastAsia="新宋体" w:cs="宋体"/>
          <w:kern w:val="0"/>
          <w:sz w:val="24"/>
        </w:rPr>
        <w:t>（2）</w:t>
      </w:r>
      <w:r>
        <w:rPr>
          <w:rFonts w:ascii="新宋体" w:hAnsi="新宋体" w:eastAsia="新宋体" w:cs="宋体"/>
          <w:kern w:val="0"/>
          <w:sz w:val="24"/>
        </w:rPr>
        <w:t>法定代表人授权委托书</w:t>
      </w:r>
      <w:r>
        <w:rPr>
          <w:rFonts w:hint="eastAsia" w:ascii="新宋体" w:hAnsi="新宋体" w:eastAsia="新宋体" w:cs="宋体"/>
          <w:kern w:val="0"/>
          <w:sz w:val="24"/>
        </w:rPr>
        <w:t>（附件2）；</w:t>
      </w:r>
    </w:p>
    <w:p>
      <w:pPr>
        <w:widowControl/>
        <w:snapToGrid w:val="0"/>
        <w:jc w:val="left"/>
        <w:rPr>
          <w:rFonts w:ascii="新宋体" w:hAnsi="新宋体" w:eastAsia="新宋体" w:cs="宋体"/>
          <w:kern w:val="0"/>
          <w:sz w:val="24"/>
        </w:rPr>
      </w:pPr>
      <w:r>
        <w:rPr>
          <w:rFonts w:hint="eastAsia" w:ascii="新宋体" w:hAnsi="新宋体" w:eastAsia="新宋体" w:cs="宋体"/>
          <w:kern w:val="0"/>
          <w:sz w:val="24"/>
        </w:rPr>
        <w:t>（3）投标价格表（附件3）；</w:t>
      </w:r>
    </w:p>
    <w:p>
      <w:pPr>
        <w:widowControl/>
        <w:snapToGrid w:val="0"/>
        <w:jc w:val="left"/>
        <w:rPr>
          <w:rFonts w:ascii="新宋体" w:hAnsi="新宋体" w:eastAsia="新宋体" w:cs="宋体"/>
          <w:kern w:val="0"/>
          <w:sz w:val="24"/>
        </w:rPr>
      </w:pPr>
      <w:r>
        <w:rPr>
          <w:rFonts w:hint="eastAsia" w:ascii="新宋体" w:hAnsi="新宋体" w:eastAsia="新宋体" w:cs="宋体"/>
          <w:kern w:val="0"/>
          <w:sz w:val="24"/>
        </w:rPr>
        <w:t>（4）廉洁合作供应商承诺书（附件4）；</w:t>
      </w:r>
    </w:p>
    <w:p>
      <w:pPr>
        <w:widowControl/>
        <w:snapToGrid w:val="0"/>
        <w:jc w:val="left"/>
        <w:rPr>
          <w:rFonts w:ascii="新宋体" w:hAnsi="新宋体" w:eastAsia="新宋体" w:cs="宋体"/>
          <w:kern w:val="0"/>
          <w:sz w:val="24"/>
        </w:rPr>
      </w:pPr>
      <w:r>
        <w:rPr>
          <w:rFonts w:hint="eastAsia" w:ascii="新宋体" w:hAnsi="新宋体" w:eastAsia="新宋体" w:cs="宋体"/>
          <w:kern w:val="0"/>
          <w:sz w:val="24"/>
        </w:rPr>
        <w:t>上述（1）至（4）均须按照招标文件附件填写。</w:t>
      </w:r>
    </w:p>
    <w:p>
      <w:pPr>
        <w:widowControl/>
        <w:snapToGrid w:val="0"/>
        <w:jc w:val="left"/>
        <w:rPr>
          <w:rFonts w:ascii="新宋体" w:hAnsi="新宋体" w:eastAsia="新宋体" w:cs="宋体"/>
          <w:kern w:val="0"/>
          <w:sz w:val="24"/>
        </w:rPr>
      </w:pPr>
      <w:r>
        <w:rPr>
          <w:rFonts w:hint="eastAsia" w:ascii="新宋体" w:hAnsi="新宋体" w:eastAsia="新宋体" w:cs="宋体"/>
          <w:kern w:val="0"/>
          <w:sz w:val="24"/>
        </w:rPr>
        <w:t>（5）</w:t>
      </w:r>
      <w:r>
        <w:rPr>
          <w:rFonts w:ascii="新宋体" w:hAnsi="新宋体" w:eastAsia="新宋体" w:cs="宋体"/>
          <w:kern w:val="0"/>
          <w:sz w:val="24"/>
        </w:rPr>
        <w:t>投标</w:t>
      </w:r>
      <w:r>
        <w:rPr>
          <w:rFonts w:hint="eastAsia" w:ascii="新宋体" w:hAnsi="新宋体" w:eastAsia="新宋体" w:cs="宋体"/>
          <w:kern w:val="0"/>
          <w:sz w:val="24"/>
        </w:rPr>
        <w:t>人</w:t>
      </w:r>
      <w:r>
        <w:rPr>
          <w:rFonts w:ascii="新宋体" w:hAnsi="新宋体" w:eastAsia="新宋体" w:cs="宋体"/>
          <w:kern w:val="0"/>
          <w:sz w:val="24"/>
        </w:rPr>
        <w:t>简介</w:t>
      </w:r>
      <w:r>
        <w:rPr>
          <w:rFonts w:hint="eastAsia" w:ascii="新宋体" w:hAnsi="新宋体" w:eastAsia="新宋体" w:cs="宋体"/>
          <w:kern w:val="0"/>
          <w:sz w:val="24"/>
        </w:rPr>
        <w:t>（请在简介中</w:t>
      </w:r>
      <w:r>
        <w:rPr>
          <w:rFonts w:ascii="新宋体" w:hAnsi="新宋体" w:eastAsia="新宋体" w:cs="宋体"/>
          <w:kern w:val="0"/>
          <w:sz w:val="24"/>
        </w:rPr>
        <w:t>注明是否与</w:t>
      </w:r>
      <w:r>
        <w:rPr>
          <w:rFonts w:hint="eastAsia" w:ascii="新宋体" w:hAnsi="新宋体" w:eastAsia="新宋体" w:cs="宋体"/>
          <w:kern w:val="0"/>
          <w:sz w:val="24"/>
        </w:rPr>
        <w:t>招标人</w:t>
      </w:r>
      <w:r>
        <w:rPr>
          <w:rFonts w:ascii="新宋体" w:hAnsi="新宋体" w:eastAsia="新宋体" w:cs="宋体"/>
          <w:kern w:val="0"/>
          <w:sz w:val="24"/>
        </w:rPr>
        <w:t>有过合作关系,如果有过合作关系,需要提供相关合同副本证明</w:t>
      </w:r>
      <w:r>
        <w:rPr>
          <w:rFonts w:hint="eastAsia" w:ascii="新宋体" w:hAnsi="新宋体" w:eastAsia="新宋体" w:cs="宋体"/>
          <w:kern w:val="0"/>
          <w:sz w:val="24"/>
        </w:rPr>
        <w:t>）；</w:t>
      </w:r>
    </w:p>
    <w:p>
      <w:pPr>
        <w:pStyle w:val="2"/>
        <w:spacing w:before="0" w:after="0" w:line="240" w:lineRule="auto"/>
        <w:rPr>
          <w:kern w:val="0"/>
          <w:sz w:val="24"/>
          <w:szCs w:val="24"/>
        </w:rPr>
      </w:pPr>
      <w:r>
        <w:rPr>
          <w:rFonts w:hint="eastAsia"/>
          <w:kern w:val="0"/>
          <w:sz w:val="24"/>
          <w:szCs w:val="24"/>
        </w:rPr>
        <w:t>（6）主要材料上年度价格走势图；</w:t>
      </w:r>
    </w:p>
    <w:p>
      <w:pPr>
        <w:widowControl/>
        <w:snapToGrid w:val="0"/>
        <w:jc w:val="left"/>
        <w:rPr>
          <w:rFonts w:ascii="新宋体" w:hAnsi="新宋体" w:eastAsia="新宋体" w:cs="宋体"/>
          <w:kern w:val="0"/>
          <w:sz w:val="24"/>
        </w:rPr>
      </w:pPr>
      <w:r>
        <w:rPr>
          <w:rFonts w:hint="eastAsia" w:ascii="新宋体" w:hAnsi="新宋体" w:eastAsia="新宋体" w:cs="宋体"/>
          <w:kern w:val="0"/>
          <w:sz w:val="24"/>
        </w:rPr>
        <w:t>（7）售前及售后服务承诺书（由投标人根据自身实际情况编写）；</w:t>
      </w:r>
    </w:p>
    <w:p>
      <w:pPr>
        <w:widowControl/>
        <w:snapToGrid w:val="0"/>
        <w:jc w:val="left"/>
        <w:rPr>
          <w:rFonts w:ascii="新宋体" w:hAnsi="新宋体" w:eastAsia="新宋体" w:cs="宋体"/>
          <w:kern w:val="0"/>
          <w:sz w:val="24"/>
        </w:rPr>
      </w:pPr>
      <w:r>
        <w:rPr>
          <w:rFonts w:hint="eastAsia" w:ascii="新宋体" w:hAnsi="新宋体" w:eastAsia="新宋体" w:cs="宋体"/>
          <w:kern w:val="0"/>
          <w:sz w:val="24"/>
        </w:rPr>
        <w:t>（8）投标资质文件（最</w:t>
      </w:r>
      <w:r>
        <w:rPr>
          <w:rFonts w:hint="eastAsia" w:ascii="新宋体" w:hAnsi="新宋体" w:eastAsia="新宋体" w:cs="宋体"/>
          <w:kern w:val="0"/>
          <w:sz w:val="24"/>
          <w:highlight w:val="yellow"/>
        </w:rPr>
        <w:t>新营业执照副本（三证合一）</w:t>
      </w:r>
      <w:r>
        <w:rPr>
          <w:rFonts w:hint="eastAsia" w:ascii="新宋体" w:hAnsi="新宋体" w:eastAsia="新宋体" w:cs="宋体"/>
          <w:kern w:val="0"/>
          <w:sz w:val="24"/>
        </w:rPr>
        <w:t>、</w:t>
      </w:r>
      <w:r>
        <w:rPr>
          <w:rFonts w:hint="eastAsia" w:ascii="新宋体" w:hAnsi="新宋体" w:eastAsia="新宋体" w:cs="宋体"/>
          <w:kern w:val="0"/>
          <w:sz w:val="24"/>
          <w:highlight w:val="yellow"/>
        </w:rPr>
        <w:t>印刷经营许可证</w:t>
      </w:r>
      <w:r>
        <w:rPr>
          <w:rFonts w:hint="eastAsia" w:ascii="新宋体" w:hAnsi="新宋体" w:eastAsia="新宋体" w:cs="宋体"/>
          <w:kern w:val="0"/>
          <w:sz w:val="24"/>
        </w:rPr>
        <w:t>、</w:t>
      </w:r>
      <w:r>
        <w:rPr>
          <w:rFonts w:hint="eastAsia" w:ascii="新宋体" w:hAnsi="新宋体" w:eastAsia="新宋体" w:cs="宋体"/>
          <w:kern w:val="0"/>
          <w:sz w:val="24"/>
          <w:highlight w:val="yellow"/>
        </w:rPr>
        <w:t>条码印刷许可证</w:t>
      </w:r>
      <w:r>
        <w:rPr>
          <w:rFonts w:hint="eastAsia" w:ascii="新宋体" w:hAnsi="新宋体" w:eastAsia="新宋体" w:cs="宋体"/>
          <w:kern w:val="0"/>
          <w:sz w:val="24"/>
        </w:rPr>
        <w:t>、生产许可证、药包材注册证、ISO9001、ISO14001、ISO28001、ISO22000、IP认证、CNAS认证、CMA认证、中国驰名商标或中国名牌证书等及其他有效证件复印件，各个证件均要求在有效年间期限内）；</w:t>
      </w:r>
    </w:p>
    <w:p>
      <w:pPr>
        <w:widowControl/>
        <w:snapToGrid w:val="0"/>
        <w:jc w:val="left"/>
        <w:rPr>
          <w:rFonts w:ascii="新宋体" w:hAnsi="新宋体" w:eastAsia="新宋体" w:cs="宋体"/>
          <w:kern w:val="0"/>
          <w:sz w:val="24"/>
        </w:rPr>
      </w:pPr>
      <w:r>
        <w:rPr>
          <w:rFonts w:hint="eastAsia" w:ascii="新宋体" w:hAnsi="新宋体" w:eastAsia="新宋体" w:cs="宋体"/>
          <w:kern w:val="0"/>
          <w:sz w:val="24"/>
        </w:rPr>
        <w:t>（9）连续3年对外财务报表（包括但不限于资产负债表、损益表和现金流量表等）；</w:t>
      </w:r>
    </w:p>
    <w:p>
      <w:pPr>
        <w:widowControl/>
        <w:snapToGrid w:val="0"/>
        <w:jc w:val="left"/>
        <w:rPr>
          <w:rFonts w:ascii="新宋体" w:hAnsi="新宋体" w:eastAsia="新宋体" w:cs="宋体"/>
          <w:kern w:val="0"/>
          <w:sz w:val="24"/>
        </w:rPr>
      </w:pPr>
      <w:r>
        <w:rPr>
          <w:rFonts w:hint="eastAsia" w:ascii="新宋体" w:hAnsi="新宋体" w:eastAsia="新宋体" w:cs="宋体"/>
          <w:kern w:val="0"/>
          <w:sz w:val="24"/>
        </w:rPr>
        <w:t>（10）半年内有效的第三方型式检测报告；</w:t>
      </w:r>
    </w:p>
    <w:p>
      <w:pPr>
        <w:widowControl/>
        <w:snapToGrid w:val="0"/>
        <w:jc w:val="left"/>
        <w:rPr>
          <w:rFonts w:ascii="新宋体" w:hAnsi="新宋体" w:eastAsia="新宋体" w:cs="宋体"/>
          <w:kern w:val="0"/>
          <w:sz w:val="24"/>
        </w:rPr>
      </w:pPr>
      <w:r>
        <w:rPr>
          <w:rFonts w:hint="eastAsia" w:ascii="新宋体" w:hAnsi="新宋体" w:eastAsia="新宋体" w:cs="宋体"/>
          <w:kern w:val="0"/>
          <w:sz w:val="24"/>
        </w:rPr>
        <w:t>（11）产品样本册；</w:t>
      </w:r>
    </w:p>
    <w:p>
      <w:pPr>
        <w:widowControl/>
        <w:snapToGrid w:val="0"/>
        <w:jc w:val="left"/>
        <w:rPr>
          <w:rFonts w:ascii="新宋体" w:hAnsi="新宋体" w:eastAsia="新宋体" w:cs="宋体"/>
          <w:kern w:val="0"/>
          <w:sz w:val="24"/>
        </w:rPr>
      </w:pPr>
      <w:r>
        <w:rPr>
          <w:rFonts w:hint="eastAsia" w:ascii="新宋体" w:hAnsi="新宋体" w:eastAsia="新宋体" w:cs="宋体"/>
          <w:kern w:val="0"/>
          <w:sz w:val="24"/>
        </w:rPr>
        <w:t>（12）投标人认为需要加以说明的其他内容；</w:t>
      </w:r>
    </w:p>
    <w:p>
      <w:pPr>
        <w:ind w:firstLine="482" w:firstLineChars="200"/>
        <w:outlineLvl w:val="2"/>
        <w:rPr>
          <w:rFonts w:ascii="黑体" w:eastAsia="黑体"/>
          <w:b/>
          <w:sz w:val="24"/>
        </w:rPr>
      </w:pPr>
      <w:bookmarkStart w:id="51" w:name="_Toc155763444"/>
      <w:bookmarkStart w:id="52" w:name="_Toc125451452"/>
      <w:bookmarkStart w:id="53" w:name="_Toc137103323"/>
      <w:bookmarkStart w:id="54" w:name="_Toc185233318"/>
      <w:bookmarkStart w:id="55" w:name="_Toc94175708"/>
      <w:bookmarkStart w:id="56" w:name="_Toc151054363"/>
      <w:bookmarkStart w:id="57" w:name="_Toc213127789"/>
      <w:r>
        <w:rPr>
          <w:rFonts w:hint="eastAsia" w:ascii="黑体" w:eastAsia="黑体"/>
          <w:b/>
          <w:sz w:val="24"/>
        </w:rPr>
        <w:t>7. 投标文件的编写与签署</w:t>
      </w:r>
      <w:bookmarkEnd w:id="51"/>
      <w:bookmarkEnd w:id="52"/>
      <w:bookmarkEnd w:id="53"/>
      <w:bookmarkEnd w:id="54"/>
      <w:bookmarkEnd w:id="55"/>
      <w:bookmarkEnd w:id="56"/>
      <w:bookmarkEnd w:id="57"/>
    </w:p>
    <w:p>
      <w:pPr>
        <w:widowControl/>
        <w:snapToGrid w:val="0"/>
        <w:jc w:val="left"/>
        <w:rPr>
          <w:rFonts w:ascii="新宋体" w:hAnsi="新宋体" w:eastAsia="新宋体" w:cs="宋体"/>
          <w:kern w:val="0"/>
          <w:sz w:val="24"/>
        </w:rPr>
      </w:pPr>
      <w:r>
        <w:rPr>
          <w:rFonts w:hint="eastAsia" w:ascii="新宋体" w:hAnsi="新宋体" w:eastAsia="新宋体" w:cs="宋体"/>
          <w:kern w:val="0"/>
          <w:sz w:val="24"/>
        </w:rPr>
        <w:t>7</w:t>
      </w:r>
      <w:r>
        <w:rPr>
          <w:rFonts w:ascii="新宋体" w:hAnsi="新宋体" w:eastAsia="新宋体" w:cs="宋体"/>
          <w:kern w:val="0"/>
          <w:sz w:val="24"/>
        </w:rPr>
        <w:t xml:space="preserve">.1 </w:t>
      </w:r>
      <w:r>
        <w:rPr>
          <w:rFonts w:hint="eastAsia" w:ascii="新宋体" w:hAnsi="新宋体" w:eastAsia="新宋体" w:cs="宋体"/>
          <w:kern w:val="0"/>
          <w:sz w:val="24"/>
        </w:rPr>
        <w:t>投标人应填写招标文件中提供的投标函、全部附件、表格及第11条所要求的文件。投标文件要求盖章的地方应加盖单位公章，如加盖“投标专用章”等专用章，招标人可以认为该专用章在投标活动中与该单位公章具备同等效力。</w:t>
      </w:r>
    </w:p>
    <w:p>
      <w:pPr>
        <w:widowControl/>
        <w:snapToGrid w:val="0"/>
        <w:jc w:val="left"/>
        <w:rPr>
          <w:rFonts w:hint="eastAsia" w:ascii="新宋体" w:hAnsi="新宋体" w:eastAsia="新宋体" w:cs="宋体"/>
          <w:kern w:val="0"/>
          <w:sz w:val="24"/>
        </w:rPr>
      </w:pPr>
      <w:r>
        <w:rPr>
          <w:rFonts w:hint="eastAsia" w:ascii="新宋体" w:hAnsi="新宋体" w:eastAsia="新宋体" w:cs="宋体"/>
          <w:kern w:val="0"/>
          <w:sz w:val="24"/>
        </w:rPr>
        <w:t>7</w:t>
      </w:r>
      <w:r>
        <w:rPr>
          <w:rFonts w:ascii="新宋体" w:hAnsi="新宋体" w:eastAsia="新宋体" w:cs="宋体"/>
          <w:kern w:val="0"/>
          <w:sz w:val="24"/>
        </w:rPr>
        <w:t>.2</w:t>
      </w:r>
      <w:r>
        <w:rPr>
          <w:rFonts w:hint="eastAsia" w:ascii="新宋体" w:hAnsi="新宋体" w:eastAsia="新宋体" w:cs="宋体"/>
          <w:kern w:val="0"/>
          <w:sz w:val="24"/>
        </w:rPr>
        <w:t>投标文件形式：投标人以招标编号为单位提供</w:t>
      </w:r>
      <w:r>
        <w:rPr>
          <w:rFonts w:hint="eastAsia" w:ascii="新宋体" w:hAnsi="新宋体" w:eastAsia="新宋体" w:cs="宋体"/>
          <w:b/>
          <w:i/>
          <w:kern w:val="0"/>
          <w:sz w:val="24"/>
        </w:rPr>
        <w:t>一份正本</w:t>
      </w:r>
      <w:r>
        <w:rPr>
          <w:rFonts w:hint="eastAsia" w:ascii="新宋体" w:hAnsi="新宋体" w:eastAsia="新宋体" w:cs="宋体"/>
          <w:kern w:val="0"/>
          <w:sz w:val="24"/>
        </w:rPr>
        <w:t>，</w:t>
      </w:r>
      <w:r>
        <w:rPr>
          <w:rFonts w:hint="eastAsia" w:ascii="新宋体" w:hAnsi="新宋体" w:eastAsia="新宋体" w:cs="宋体"/>
          <w:b/>
          <w:i/>
          <w:kern w:val="0"/>
          <w:sz w:val="24"/>
        </w:rPr>
        <w:t>一份副本</w:t>
      </w:r>
      <w:r>
        <w:rPr>
          <w:rFonts w:hint="eastAsia" w:ascii="新宋体" w:hAnsi="新宋体" w:eastAsia="新宋体" w:cs="宋体"/>
          <w:kern w:val="0"/>
          <w:sz w:val="24"/>
        </w:rPr>
        <w:t>必须加盖骑缝章。</w:t>
      </w:r>
    </w:p>
    <w:p>
      <w:pPr>
        <w:widowControl/>
        <w:snapToGrid w:val="0"/>
        <w:jc w:val="left"/>
        <w:rPr>
          <w:rFonts w:ascii="新宋体" w:hAnsi="新宋体" w:eastAsia="新宋体" w:cs="宋体"/>
          <w:kern w:val="0"/>
          <w:sz w:val="24"/>
        </w:rPr>
      </w:pPr>
      <w:r>
        <w:rPr>
          <w:rFonts w:hint="eastAsia" w:ascii="新宋体" w:hAnsi="新宋体" w:eastAsia="新宋体" w:cs="宋体"/>
          <w:kern w:val="0"/>
          <w:sz w:val="24"/>
        </w:rPr>
        <w:t>7</w:t>
      </w:r>
      <w:r>
        <w:rPr>
          <w:rFonts w:ascii="新宋体" w:hAnsi="新宋体" w:eastAsia="新宋体" w:cs="宋体"/>
          <w:kern w:val="0"/>
          <w:sz w:val="24"/>
        </w:rPr>
        <w:t>.</w:t>
      </w:r>
      <w:r>
        <w:rPr>
          <w:rFonts w:hint="eastAsia" w:ascii="新宋体" w:hAnsi="新宋体" w:eastAsia="新宋体" w:cs="宋体"/>
          <w:kern w:val="0"/>
          <w:sz w:val="24"/>
        </w:rPr>
        <w:t>3</w:t>
      </w:r>
      <w:r>
        <w:rPr>
          <w:rFonts w:ascii="新宋体" w:hAnsi="新宋体" w:eastAsia="新宋体" w:cs="宋体"/>
          <w:kern w:val="0"/>
          <w:sz w:val="24"/>
        </w:rPr>
        <w:t xml:space="preserve"> </w:t>
      </w:r>
      <w:r>
        <w:rPr>
          <w:rFonts w:hint="eastAsia" w:ascii="新宋体" w:hAnsi="新宋体" w:eastAsia="新宋体" w:cs="宋体"/>
          <w:kern w:val="0"/>
          <w:sz w:val="24"/>
        </w:rPr>
        <w:t>投标文件中一般不允许有加行、涂行或改字，若有修改须由投标人法定代表人或其授权代表签字，否则视为无效的投标文件。</w:t>
      </w:r>
    </w:p>
    <w:p>
      <w:pPr>
        <w:widowControl/>
        <w:snapToGrid w:val="0"/>
        <w:jc w:val="left"/>
        <w:rPr>
          <w:rFonts w:ascii="新宋体" w:hAnsi="新宋体" w:eastAsia="新宋体" w:cs="宋体"/>
          <w:kern w:val="0"/>
          <w:sz w:val="24"/>
        </w:rPr>
      </w:pPr>
      <w:r>
        <w:rPr>
          <w:rFonts w:hint="eastAsia" w:ascii="新宋体" w:hAnsi="新宋体" w:eastAsia="新宋体" w:cs="宋体"/>
          <w:kern w:val="0"/>
          <w:sz w:val="24"/>
        </w:rPr>
        <w:t>7.4 投标人对招标文件的内容把握不准时，可在投标结束前及时向本公司有关部门咨询。</w:t>
      </w:r>
    </w:p>
    <w:p>
      <w:pPr>
        <w:ind w:firstLine="482" w:firstLineChars="200"/>
        <w:outlineLvl w:val="2"/>
        <w:rPr>
          <w:rFonts w:ascii="黑体" w:eastAsia="黑体"/>
          <w:b/>
          <w:sz w:val="24"/>
        </w:rPr>
      </w:pPr>
      <w:bookmarkStart w:id="58" w:name="_Toc151054364"/>
      <w:bookmarkStart w:id="59" w:name="_Toc137103324"/>
      <w:bookmarkStart w:id="60" w:name="_Toc94175709"/>
      <w:bookmarkStart w:id="61" w:name="_Toc155763445"/>
      <w:bookmarkStart w:id="62" w:name="_Toc213127790"/>
      <w:bookmarkStart w:id="63" w:name="_Toc185233319"/>
      <w:bookmarkStart w:id="64" w:name="_Toc125451453"/>
      <w:r>
        <w:rPr>
          <w:rFonts w:hint="eastAsia" w:ascii="黑体" w:eastAsia="黑体"/>
          <w:b/>
          <w:sz w:val="24"/>
        </w:rPr>
        <w:t>8．投标价格</w:t>
      </w:r>
      <w:bookmarkEnd w:id="58"/>
      <w:bookmarkEnd w:id="59"/>
      <w:bookmarkEnd w:id="60"/>
      <w:bookmarkEnd w:id="61"/>
      <w:bookmarkEnd w:id="62"/>
      <w:bookmarkEnd w:id="63"/>
      <w:bookmarkEnd w:id="64"/>
    </w:p>
    <w:p>
      <w:pPr>
        <w:widowControl/>
        <w:snapToGrid w:val="0"/>
        <w:jc w:val="left"/>
        <w:rPr>
          <w:rFonts w:ascii="新宋体" w:hAnsi="新宋体" w:eastAsia="新宋体" w:cs="宋体"/>
          <w:kern w:val="0"/>
          <w:sz w:val="24"/>
        </w:rPr>
      </w:pPr>
      <w:r>
        <w:rPr>
          <w:rFonts w:hint="eastAsia" w:ascii="新宋体" w:hAnsi="新宋体" w:eastAsia="新宋体" w:cs="宋体"/>
          <w:kern w:val="0"/>
          <w:sz w:val="24"/>
        </w:rPr>
        <w:t>8.1 应按招标文件所附的格式填写报价表格，不得随意增删或变更，否则将予以作废。所报价格应切合市场，严重背离市场行情的报价将不被接受。</w:t>
      </w:r>
    </w:p>
    <w:p>
      <w:pPr>
        <w:widowControl/>
        <w:snapToGrid w:val="0"/>
        <w:jc w:val="left"/>
        <w:rPr>
          <w:rFonts w:ascii="新宋体" w:hAnsi="新宋体" w:eastAsia="新宋体" w:cs="宋体"/>
          <w:kern w:val="0"/>
          <w:sz w:val="24"/>
        </w:rPr>
      </w:pPr>
      <w:r>
        <w:rPr>
          <w:rFonts w:hint="eastAsia" w:ascii="新宋体" w:hAnsi="新宋体" w:eastAsia="新宋体" w:cs="宋体"/>
          <w:kern w:val="0"/>
          <w:sz w:val="24"/>
        </w:rPr>
        <w:t>8.2 投标人考虑标的物预计数量以及其他相关资料，并根据企业自身实际情况，做出真实报价。投标人所报价格应为本招标文件声明的有效期内的固定不变价格（单价），中标人不得因任何理由改变中标后的单价。</w:t>
      </w:r>
    </w:p>
    <w:p>
      <w:pPr>
        <w:widowControl/>
        <w:snapToGrid w:val="0"/>
        <w:jc w:val="left"/>
        <w:rPr>
          <w:rFonts w:ascii="新宋体" w:hAnsi="新宋体" w:eastAsia="新宋体" w:cs="宋体"/>
          <w:kern w:val="0"/>
          <w:sz w:val="24"/>
        </w:rPr>
      </w:pPr>
      <w:r>
        <w:rPr>
          <w:rFonts w:hint="eastAsia" w:ascii="新宋体" w:hAnsi="新宋体" w:eastAsia="新宋体" w:cs="宋体"/>
          <w:kern w:val="0"/>
          <w:sz w:val="24"/>
        </w:rPr>
        <w:t>8.3 投标人报价应包含至交货地点以前的运输、</w:t>
      </w:r>
      <w:r>
        <w:rPr>
          <w:rFonts w:hint="eastAsia" w:ascii="新宋体" w:hAnsi="新宋体" w:eastAsia="新宋体" w:cs="宋体"/>
          <w:b/>
          <w:kern w:val="0"/>
          <w:sz w:val="24"/>
        </w:rPr>
        <w:t>卸货费</w:t>
      </w:r>
      <w:r>
        <w:rPr>
          <w:rFonts w:hint="eastAsia" w:ascii="新宋体" w:hAnsi="新宋体" w:eastAsia="新宋体" w:cs="宋体"/>
          <w:kern w:val="0"/>
          <w:sz w:val="24"/>
        </w:rPr>
        <w:t>用以及包含13%增值税的含税价。</w:t>
      </w:r>
    </w:p>
    <w:p>
      <w:pPr>
        <w:ind w:firstLine="482" w:firstLineChars="200"/>
        <w:outlineLvl w:val="2"/>
        <w:rPr>
          <w:rFonts w:ascii="黑体" w:eastAsia="黑体"/>
          <w:b/>
          <w:sz w:val="24"/>
        </w:rPr>
      </w:pPr>
      <w:bookmarkStart w:id="65" w:name="_Toc125451454"/>
      <w:bookmarkStart w:id="66" w:name="_Toc94175710"/>
      <w:bookmarkStart w:id="67" w:name="_Toc155763446"/>
      <w:bookmarkStart w:id="68" w:name="_Toc213127791"/>
      <w:bookmarkStart w:id="69" w:name="_Toc137103325"/>
      <w:bookmarkStart w:id="70" w:name="_Toc151054365"/>
      <w:bookmarkStart w:id="71" w:name="_Toc185233320"/>
      <w:r>
        <w:rPr>
          <w:rFonts w:hint="eastAsia" w:ascii="黑体" w:eastAsia="黑体"/>
          <w:b/>
          <w:sz w:val="24"/>
        </w:rPr>
        <w:t>9. 投标货币</w:t>
      </w:r>
      <w:bookmarkEnd w:id="65"/>
      <w:bookmarkEnd w:id="66"/>
      <w:bookmarkEnd w:id="67"/>
      <w:bookmarkEnd w:id="68"/>
      <w:bookmarkEnd w:id="69"/>
      <w:bookmarkEnd w:id="70"/>
      <w:bookmarkEnd w:id="71"/>
    </w:p>
    <w:p>
      <w:pPr>
        <w:widowControl/>
        <w:snapToGrid w:val="0"/>
        <w:jc w:val="left"/>
        <w:rPr>
          <w:rFonts w:ascii="新宋体" w:hAnsi="新宋体" w:eastAsia="新宋体" w:cs="宋体"/>
          <w:kern w:val="0"/>
          <w:sz w:val="24"/>
        </w:rPr>
      </w:pPr>
      <w:bookmarkStart w:id="72" w:name="_Toc125451455"/>
      <w:bookmarkStart w:id="73" w:name="_Toc155763447"/>
      <w:bookmarkStart w:id="74" w:name="_Toc151054366"/>
      <w:bookmarkStart w:id="75" w:name="_Toc185233321"/>
      <w:bookmarkStart w:id="76" w:name="_Toc137103326"/>
      <w:bookmarkStart w:id="77" w:name="_Toc94175711"/>
      <w:r>
        <w:rPr>
          <w:rFonts w:hint="eastAsia" w:ascii="新宋体" w:hAnsi="新宋体" w:eastAsia="新宋体" w:cs="宋体"/>
          <w:kern w:val="0"/>
          <w:sz w:val="24"/>
        </w:rPr>
        <w:t xml:space="preserve">所有投标均以人民币报价。 </w:t>
      </w:r>
    </w:p>
    <w:p>
      <w:pPr>
        <w:ind w:firstLine="482" w:firstLineChars="200"/>
        <w:outlineLvl w:val="2"/>
        <w:rPr>
          <w:rFonts w:ascii="黑体" w:eastAsia="黑体"/>
          <w:b/>
          <w:sz w:val="24"/>
        </w:rPr>
      </w:pPr>
      <w:bookmarkStart w:id="78" w:name="_Toc213127792"/>
      <w:r>
        <w:rPr>
          <w:rFonts w:hint="eastAsia" w:ascii="黑体" w:eastAsia="黑体"/>
          <w:b/>
          <w:sz w:val="24"/>
        </w:rPr>
        <w:t>10. 投标人资格的声明文件</w:t>
      </w:r>
      <w:bookmarkEnd w:id="72"/>
      <w:bookmarkEnd w:id="73"/>
      <w:bookmarkEnd w:id="74"/>
      <w:bookmarkEnd w:id="75"/>
      <w:bookmarkEnd w:id="76"/>
      <w:bookmarkEnd w:id="77"/>
      <w:bookmarkEnd w:id="78"/>
    </w:p>
    <w:p>
      <w:pPr>
        <w:widowControl/>
        <w:snapToGrid w:val="0"/>
        <w:jc w:val="left"/>
        <w:rPr>
          <w:rFonts w:ascii="新宋体" w:hAnsi="新宋体" w:eastAsia="新宋体" w:cs="宋体"/>
          <w:kern w:val="0"/>
          <w:sz w:val="24"/>
        </w:rPr>
      </w:pPr>
      <w:r>
        <w:rPr>
          <w:rFonts w:hint="eastAsia" w:ascii="新宋体" w:hAnsi="新宋体" w:eastAsia="新宋体" w:cs="宋体"/>
          <w:kern w:val="0"/>
          <w:sz w:val="24"/>
        </w:rPr>
        <w:t>10.1 投标人应按规定，提供投标人有资格参加投标和中标后有能力履行合同的文件。</w:t>
      </w:r>
    </w:p>
    <w:p>
      <w:pPr>
        <w:widowControl/>
        <w:snapToGrid w:val="0"/>
        <w:jc w:val="left"/>
        <w:rPr>
          <w:rFonts w:ascii="新宋体" w:hAnsi="新宋体" w:eastAsia="新宋体" w:cs="宋体"/>
          <w:kern w:val="0"/>
          <w:sz w:val="24"/>
        </w:rPr>
      </w:pPr>
      <w:r>
        <w:rPr>
          <w:rFonts w:hint="eastAsia" w:ascii="新宋体" w:hAnsi="新宋体" w:eastAsia="新宋体" w:cs="宋体"/>
          <w:kern w:val="0"/>
          <w:sz w:val="24"/>
        </w:rPr>
        <w:t>10.2 投标人提供的中标后履行合同的资格声明文件应达到招标人的要求：</w:t>
      </w:r>
    </w:p>
    <w:p>
      <w:pPr>
        <w:widowControl/>
        <w:snapToGrid w:val="0"/>
        <w:jc w:val="left"/>
        <w:rPr>
          <w:rFonts w:ascii="新宋体" w:hAnsi="新宋体" w:eastAsia="新宋体" w:cs="宋体"/>
          <w:kern w:val="0"/>
          <w:sz w:val="24"/>
        </w:rPr>
      </w:pPr>
      <w:r>
        <w:rPr>
          <w:rFonts w:hint="eastAsia" w:ascii="新宋体" w:hAnsi="新宋体" w:eastAsia="新宋体" w:cs="宋体"/>
          <w:kern w:val="0"/>
          <w:sz w:val="24"/>
        </w:rPr>
        <w:t>(a)投标人具有履行合同所需的财务、技术和生产能力；</w:t>
      </w:r>
    </w:p>
    <w:p>
      <w:pPr>
        <w:widowControl/>
        <w:snapToGrid w:val="0"/>
        <w:jc w:val="left"/>
        <w:rPr>
          <w:rFonts w:ascii="新宋体" w:hAnsi="新宋体" w:eastAsia="新宋体" w:cs="宋体"/>
          <w:kern w:val="0"/>
          <w:sz w:val="24"/>
        </w:rPr>
      </w:pPr>
      <w:r>
        <w:rPr>
          <w:rFonts w:hint="eastAsia" w:ascii="新宋体" w:hAnsi="新宋体" w:eastAsia="新宋体" w:cs="宋体"/>
          <w:kern w:val="0"/>
          <w:sz w:val="24"/>
        </w:rPr>
        <w:t>(b)投标人有能力在合同条款规定的时间内按技术文件的要求完成发生的少量缺货、错货、破损货的补供工作及售后服务规定的内容等。</w:t>
      </w:r>
      <w:bookmarkStart w:id="79" w:name="_Toc94175712"/>
      <w:bookmarkStart w:id="80" w:name="_Toc125451456"/>
      <w:bookmarkStart w:id="81" w:name="_Toc151054367"/>
      <w:bookmarkStart w:id="82" w:name="_Toc137103327"/>
      <w:bookmarkStart w:id="83" w:name="_Toc185233322"/>
      <w:bookmarkStart w:id="84" w:name="_Toc155763448"/>
    </w:p>
    <w:p>
      <w:pPr>
        <w:ind w:firstLine="482" w:firstLineChars="200"/>
        <w:outlineLvl w:val="2"/>
        <w:rPr>
          <w:rFonts w:ascii="黑体" w:eastAsia="黑体"/>
          <w:b/>
          <w:sz w:val="24"/>
        </w:rPr>
      </w:pPr>
      <w:bookmarkStart w:id="85" w:name="_Toc213127793"/>
      <w:r>
        <w:rPr>
          <w:rFonts w:hint="eastAsia" w:ascii="黑体" w:eastAsia="黑体"/>
          <w:b/>
          <w:sz w:val="24"/>
        </w:rPr>
        <w:t>11. 产品及服务符合招标文件规定的声明文件</w:t>
      </w:r>
      <w:bookmarkEnd w:id="79"/>
      <w:bookmarkEnd w:id="80"/>
      <w:bookmarkEnd w:id="81"/>
      <w:bookmarkEnd w:id="82"/>
      <w:bookmarkEnd w:id="83"/>
      <w:bookmarkEnd w:id="84"/>
      <w:bookmarkEnd w:id="85"/>
    </w:p>
    <w:p>
      <w:pPr>
        <w:widowControl/>
        <w:snapToGrid w:val="0"/>
        <w:jc w:val="left"/>
        <w:rPr>
          <w:rFonts w:ascii="新宋体" w:hAnsi="新宋体" w:eastAsia="新宋体" w:cs="宋体"/>
          <w:kern w:val="0"/>
          <w:sz w:val="24"/>
        </w:rPr>
      </w:pPr>
      <w:r>
        <w:rPr>
          <w:rFonts w:hint="eastAsia" w:ascii="新宋体" w:hAnsi="新宋体" w:eastAsia="新宋体" w:cs="宋体"/>
          <w:kern w:val="0"/>
          <w:sz w:val="24"/>
        </w:rPr>
        <w:t>11.1 投标文件中应提供证明投标人拟提供的产品及服务符合招标文件相关规定的声明文件。</w:t>
      </w:r>
    </w:p>
    <w:p>
      <w:pPr>
        <w:widowControl/>
        <w:snapToGrid w:val="0"/>
        <w:jc w:val="left"/>
        <w:rPr>
          <w:rFonts w:ascii="新宋体" w:hAnsi="新宋体" w:eastAsia="新宋体" w:cs="宋体"/>
          <w:kern w:val="0"/>
          <w:sz w:val="24"/>
        </w:rPr>
      </w:pPr>
      <w:r>
        <w:rPr>
          <w:rFonts w:hint="eastAsia" w:ascii="新宋体" w:hAnsi="新宋体" w:eastAsia="新宋体" w:cs="宋体"/>
          <w:kern w:val="0"/>
          <w:sz w:val="24"/>
        </w:rPr>
        <w:t>11.2 产品及服务符合招标文件规定的声明文件可以是文字资料、图纸和数据，并须提供：</w:t>
      </w:r>
    </w:p>
    <w:p>
      <w:pPr>
        <w:widowControl/>
        <w:snapToGrid w:val="0"/>
        <w:jc w:val="left"/>
        <w:rPr>
          <w:rFonts w:ascii="新宋体" w:hAnsi="新宋体" w:eastAsia="新宋体" w:cs="宋体"/>
          <w:kern w:val="0"/>
          <w:sz w:val="24"/>
        </w:rPr>
      </w:pPr>
      <w:r>
        <w:rPr>
          <w:rFonts w:hint="eastAsia" w:ascii="新宋体" w:hAnsi="新宋体" w:eastAsia="新宋体" w:cs="宋体"/>
          <w:kern w:val="0"/>
          <w:sz w:val="24"/>
        </w:rPr>
        <w:t>(a)产品的主要技术和性能特点；</w:t>
      </w:r>
    </w:p>
    <w:p>
      <w:pPr>
        <w:widowControl/>
        <w:snapToGrid w:val="0"/>
        <w:jc w:val="left"/>
        <w:rPr>
          <w:rFonts w:ascii="新宋体" w:hAnsi="新宋体" w:eastAsia="新宋体" w:cs="宋体"/>
          <w:kern w:val="0"/>
          <w:sz w:val="24"/>
        </w:rPr>
      </w:pPr>
      <w:r>
        <w:rPr>
          <w:rFonts w:hint="eastAsia" w:ascii="新宋体" w:hAnsi="新宋体" w:eastAsia="新宋体" w:cs="宋体"/>
          <w:kern w:val="0"/>
          <w:sz w:val="24"/>
        </w:rPr>
        <w:t>(b)说明所有细节的清单。包括：投标产品的型号、规格、技术条件、技术标准、以往是否供应过、相关的试验报告等；</w:t>
      </w:r>
    </w:p>
    <w:p>
      <w:pPr>
        <w:widowControl/>
        <w:snapToGrid w:val="0"/>
        <w:jc w:val="left"/>
        <w:rPr>
          <w:rFonts w:ascii="新宋体" w:hAnsi="新宋体" w:eastAsia="新宋体" w:cs="宋体"/>
          <w:kern w:val="0"/>
          <w:sz w:val="24"/>
        </w:rPr>
      </w:pPr>
      <w:r>
        <w:rPr>
          <w:rFonts w:hint="eastAsia" w:ascii="新宋体" w:hAnsi="新宋体" w:eastAsia="新宋体" w:cs="宋体"/>
          <w:kern w:val="0"/>
          <w:sz w:val="24"/>
        </w:rPr>
        <w:t>(c)对招标文件技术规范要求的逐条实质响应；</w:t>
      </w:r>
    </w:p>
    <w:p>
      <w:pPr>
        <w:widowControl/>
        <w:snapToGrid w:val="0"/>
        <w:jc w:val="left"/>
        <w:rPr>
          <w:rFonts w:ascii="新宋体" w:hAnsi="新宋体" w:eastAsia="新宋体" w:cs="宋体"/>
          <w:kern w:val="0"/>
          <w:sz w:val="24"/>
        </w:rPr>
      </w:pPr>
      <w:r>
        <w:rPr>
          <w:rFonts w:hint="eastAsia" w:ascii="新宋体" w:hAnsi="新宋体" w:eastAsia="新宋体" w:cs="宋体"/>
          <w:kern w:val="0"/>
          <w:sz w:val="24"/>
        </w:rPr>
        <w:t>(d)投标人承诺：投标人拟提供的产品及服务必须满足在中标后执行投标技术文件条款、条件的各项要求。</w:t>
      </w:r>
      <w:bookmarkStart w:id="86" w:name="_Toc94175713"/>
      <w:bookmarkStart w:id="87" w:name="_Toc125451457"/>
      <w:bookmarkStart w:id="88" w:name="_Toc185233323"/>
      <w:bookmarkStart w:id="89" w:name="_Toc137103328"/>
      <w:bookmarkStart w:id="90" w:name="_Toc155763449"/>
      <w:bookmarkStart w:id="91" w:name="_Toc151054368"/>
    </w:p>
    <w:bookmarkEnd w:id="86"/>
    <w:bookmarkEnd w:id="87"/>
    <w:bookmarkEnd w:id="88"/>
    <w:bookmarkEnd w:id="89"/>
    <w:bookmarkEnd w:id="90"/>
    <w:bookmarkEnd w:id="91"/>
    <w:p>
      <w:pPr>
        <w:ind w:firstLine="482" w:firstLineChars="200"/>
        <w:outlineLvl w:val="2"/>
        <w:rPr>
          <w:rFonts w:ascii="黑体" w:eastAsia="黑体"/>
          <w:b/>
          <w:sz w:val="24"/>
        </w:rPr>
      </w:pPr>
      <w:bookmarkStart w:id="92" w:name="_Toc213127795"/>
      <w:bookmarkStart w:id="93" w:name="_Toc137103329"/>
      <w:bookmarkStart w:id="94" w:name="_Toc155763450"/>
      <w:bookmarkStart w:id="95" w:name="_Toc185233324"/>
      <w:bookmarkStart w:id="96" w:name="_Toc94175714"/>
      <w:bookmarkStart w:id="97" w:name="_Toc151054369"/>
      <w:bookmarkStart w:id="98" w:name="_Toc125451458"/>
      <w:r>
        <w:rPr>
          <w:rFonts w:hint="eastAsia" w:ascii="黑体" w:eastAsia="黑体"/>
          <w:b/>
          <w:sz w:val="24"/>
        </w:rPr>
        <w:t>12. 投标有效期</w:t>
      </w:r>
      <w:bookmarkEnd w:id="92"/>
      <w:bookmarkEnd w:id="93"/>
      <w:bookmarkEnd w:id="94"/>
      <w:bookmarkEnd w:id="95"/>
      <w:bookmarkEnd w:id="96"/>
      <w:bookmarkEnd w:id="97"/>
      <w:bookmarkEnd w:id="98"/>
    </w:p>
    <w:p>
      <w:pPr>
        <w:widowControl/>
        <w:snapToGrid w:val="0"/>
        <w:jc w:val="left"/>
        <w:rPr>
          <w:rFonts w:ascii="新宋体" w:hAnsi="新宋体" w:eastAsia="新宋体" w:cs="宋体"/>
          <w:kern w:val="0"/>
          <w:sz w:val="24"/>
        </w:rPr>
      </w:pPr>
      <w:r>
        <w:rPr>
          <w:rFonts w:hint="eastAsia" w:ascii="新宋体" w:hAnsi="新宋体" w:eastAsia="新宋体" w:cs="宋体"/>
          <w:kern w:val="0"/>
          <w:sz w:val="24"/>
        </w:rPr>
        <w:t>12</w:t>
      </w:r>
      <w:r>
        <w:rPr>
          <w:rFonts w:ascii="新宋体" w:hAnsi="新宋体" w:eastAsia="新宋体" w:cs="宋体"/>
          <w:kern w:val="0"/>
          <w:sz w:val="24"/>
        </w:rPr>
        <w:t xml:space="preserve">.1 </w:t>
      </w:r>
      <w:r>
        <w:rPr>
          <w:rFonts w:hint="eastAsia" w:ascii="新宋体" w:hAnsi="新宋体" w:eastAsia="新宋体" w:cs="宋体"/>
          <w:kern w:val="0"/>
          <w:sz w:val="24"/>
        </w:rPr>
        <w:t>自规定的开标之日起，投标人的投标文件和报价有效期应在投标有效期限内保持有效。投标有效期不足的将被视为非响应性投标而被拒绝。</w:t>
      </w:r>
    </w:p>
    <w:p>
      <w:pPr>
        <w:widowControl/>
        <w:snapToGrid w:val="0"/>
        <w:jc w:val="left"/>
        <w:rPr>
          <w:rFonts w:ascii="新宋体" w:hAnsi="新宋体" w:eastAsia="新宋体" w:cs="宋体"/>
          <w:kern w:val="0"/>
          <w:sz w:val="24"/>
        </w:rPr>
      </w:pPr>
      <w:r>
        <w:rPr>
          <w:rFonts w:hint="eastAsia" w:ascii="新宋体" w:hAnsi="新宋体" w:eastAsia="新宋体" w:cs="宋体"/>
          <w:kern w:val="0"/>
          <w:sz w:val="24"/>
        </w:rPr>
        <w:t>12</w:t>
      </w:r>
      <w:r>
        <w:rPr>
          <w:rFonts w:ascii="新宋体" w:hAnsi="新宋体" w:eastAsia="新宋体" w:cs="宋体"/>
          <w:kern w:val="0"/>
          <w:sz w:val="24"/>
        </w:rPr>
        <w:t xml:space="preserve">.2 </w:t>
      </w:r>
      <w:r>
        <w:rPr>
          <w:rFonts w:hint="eastAsia" w:ascii="新宋体" w:hAnsi="新宋体" w:eastAsia="新宋体" w:cs="宋体"/>
          <w:kern w:val="0"/>
          <w:sz w:val="24"/>
        </w:rPr>
        <w:t>若遇特殊情况，招标单位可于投标有效期满之前要求投标人延长有效期。要求与答复均应为书面或者电子邮件的形式。如同意延长投标有效期，投标人应书面或电子邮件同意并办理延长投标的有效期事宜，但不能对投标文件进行修改。</w:t>
      </w:r>
      <w:bookmarkStart w:id="99" w:name="_Toc151054370"/>
      <w:bookmarkStart w:id="100" w:name="_Toc137103330"/>
      <w:bookmarkStart w:id="101" w:name="_Toc94175715"/>
      <w:bookmarkStart w:id="102" w:name="_Toc185233325"/>
      <w:bookmarkStart w:id="103" w:name="_Toc125451459"/>
      <w:bookmarkStart w:id="104" w:name="_Toc155763451"/>
    </w:p>
    <w:p>
      <w:pPr>
        <w:widowControl/>
        <w:snapToGrid w:val="0"/>
        <w:jc w:val="left"/>
        <w:rPr>
          <w:rFonts w:ascii="新宋体" w:hAnsi="新宋体" w:eastAsia="新宋体" w:cs="宋体"/>
          <w:kern w:val="0"/>
          <w:sz w:val="24"/>
        </w:rPr>
      </w:pPr>
    </w:p>
    <w:p>
      <w:pPr>
        <w:outlineLvl w:val="1"/>
        <w:rPr>
          <w:rFonts w:ascii="黑体" w:hAnsi="宋体" w:eastAsia="黑体"/>
          <w:b/>
          <w:sz w:val="28"/>
        </w:rPr>
      </w:pPr>
      <w:bookmarkStart w:id="105" w:name="_Toc213127796"/>
      <w:r>
        <w:rPr>
          <w:rFonts w:hint="eastAsia" w:ascii="黑体" w:hAnsi="宋体" w:eastAsia="黑体"/>
          <w:b/>
          <w:sz w:val="28"/>
        </w:rPr>
        <w:t>三、 投标文件的递交</w:t>
      </w:r>
      <w:bookmarkEnd w:id="99"/>
      <w:bookmarkEnd w:id="100"/>
      <w:bookmarkEnd w:id="101"/>
      <w:bookmarkEnd w:id="102"/>
      <w:bookmarkEnd w:id="103"/>
      <w:bookmarkEnd w:id="104"/>
      <w:bookmarkEnd w:id="105"/>
      <w:bookmarkStart w:id="106" w:name="_Toc94175716"/>
      <w:bookmarkStart w:id="107" w:name="_Toc137103331"/>
      <w:bookmarkStart w:id="108" w:name="_Toc151054371"/>
      <w:bookmarkStart w:id="109" w:name="_Toc125451460"/>
      <w:bookmarkStart w:id="110" w:name="_Toc155763452"/>
      <w:bookmarkStart w:id="111" w:name="_Toc185233326"/>
    </w:p>
    <w:p>
      <w:pPr>
        <w:ind w:firstLine="482" w:firstLineChars="200"/>
        <w:outlineLvl w:val="2"/>
        <w:rPr>
          <w:rFonts w:ascii="黑体" w:eastAsia="黑体"/>
          <w:b/>
          <w:sz w:val="24"/>
        </w:rPr>
      </w:pPr>
      <w:bookmarkStart w:id="112" w:name="_Toc213127797"/>
      <w:r>
        <w:rPr>
          <w:rFonts w:hint="eastAsia" w:ascii="黑体" w:eastAsia="黑体"/>
          <w:b/>
          <w:sz w:val="24"/>
        </w:rPr>
        <w:t>13. 投标文件的递交、密封和标记</w:t>
      </w:r>
      <w:bookmarkEnd w:id="106"/>
      <w:bookmarkEnd w:id="107"/>
      <w:bookmarkEnd w:id="108"/>
      <w:bookmarkEnd w:id="109"/>
      <w:bookmarkEnd w:id="110"/>
      <w:bookmarkEnd w:id="111"/>
      <w:bookmarkEnd w:id="112"/>
    </w:p>
    <w:p>
      <w:pPr>
        <w:widowControl/>
        <w:snapToGrid w:val="0"/>
        <w:jc w:val="left"/>
        <w:rPr>
          <w:rFonts w:ascii="新宋体" w:hAnsi="新宋体" w:eastAsia="新宋体" w:cs="宋体"/>
          <w:kern w:val="0"/>
          <w:sz w:val="24"/>
        </w:rPr>
      </w:pPr>
      <w:r>
        <w:rPr>
          <w:rFonts w:hint="eastAsia" w:ascii="新宋体" w:hAnsi="新宋体" w:eastAsia="新宋体" w:cs="宋体"/>
          <w:kern w:val="0"/>
          <w:sz w:val="24"/>
        </w:rPr>
        <w:t>13</w:t>
      </w:r>
      <w:r>
        <w:rPr>
          <w:rFonts w:ascii="新宋体" w:hAnsi="新宋体" w:eastAsia="新宋体" w:cs="宋体"/>
          <w:kern w:val="0"/>
          <w:sz w:val="24"/>
        </w:rPr>
        <w:t>.1</w:t>
      </w:r>
      <w:r>
        <w:rPr>
          <w:rFonts w:hint="eastAsia" w:ascii="新宋体" w:hAnsi="新宋体" w:eastAsia="新宋体" w:cs="宋体"/>
          <w:kern w:val="0"/>
          <w:sz w:val="24"/>
        </w:rPr>
        <w:t>投标人应按招标编号为单位进行装订。封套应符合以下要求：</w:t>
      </w:r>
    </w:p>
    <w:p>
      <w:pPr>
        <w:widowControl/>
        <w:snapToGrid w:val="0"/>
        <w:jc w:val="left"/>
        <w:rPr>
          <w:rFonts w:ascii="新宋体" w:hAnsi="新宋体" w:eastAsia="新宋体" w:cs="宋体"/>
          <w:kern w:val="0"/>
          <w:sz w:val="24"/>
        </w:rPr>
      </w:pPr>
      <w:r>
        <w:rPr>
          <w:rFonts w:hint="eastAsia" w:ascii="新宋体" w:hAnsi="新宋体" w:eastAsia="新宋体" w:cs="宋体"/>
          <w:kern w:val="0"/>
          <w:sz w:val="24"/>
        </w:rPr>
        <w:t>(a)注明项目名称、招标编号，正本及 “开标日期前不准启封”字样，并加盖单位章。</w:t>
      </w:r>
    </w:p>
    <w:p>
      <w:pPr>
        <w:widowControl/>
        <w:snapToGrid w:val="0"/>
        <w:jc w:val="left"/>
        <w:rPr>
          <w:rFonts w:ascii="新宋体" w:hAnsi="新宋体" w:eastAsia="新宋体" w:cs="宋体"/>
          <w:kern w:val="0"/>
          <w:sz w:val="24"/>
        </w:rPr>
      </w:pPr>
      <w:r>
        <w:rPr>
          <w:rFonts w:hint="eastAsia" w:ascii="新宋体" w:hAnsi="新宋体" w:eastAsia="新宋体" w:cs="宋体"/>
          <w:kern w:val="0"/>
          <w:sz w:val="24"/>
        </w:rPr>
        <w:t>(b)写明投标人名称、地址、联系人及联系方式。</w:t>
      </w:r>
    </w:p>
    <w:p>
      <w:pPr>
        <w:widowControl/>
        <w:snapToGrid w:val="0"/>
        <w:jc w:val="left"/>
        <w:rPr>
          <w:rFonts w:hint="eastAsia" w:ascii="新宋体" w:hAnsi="新宋体" w:eastAsia="新宋体" w:cs="宋体"/>
          <w:kern w:val="0"/>
          <w:sz w:val="24"/>
        </w:rPr>
      </w:pPr>
      <w:r>
        <w:rPr>
          <w:rFonts w:hint="eastAsia" w:ascii="新宋体" w:hAnsi="新宋体" w:eastAsia="新宋体" w:cs="宋体"/>
          <w:kern w:val="0"/>
          <w:sz w:val="24"/>
        </w:rPr>
        <w:t>13.2投标文件送达或邮寄地址：13.2投标文件送达或邮寄地址：正本寄无锡滨湖区马山霞光路88号，毛菊芬收0510-66613858；副本寄上海徐汇区宜山路700号C1座10楼，财务部</w:t>
      </w:r>
      <w:r>
        <w:rPr>
          <w:rFonts w:hint="eastAsia" w:ascii="新宋体" w:hAnsi="新宋体" w:eastAsia="新宋体" w:cs="宋体"/>
          <w:kern w:val="0"/>
          <w:sz w:val="24"/>
          <w:lang w:eastAsia="zh-CN"/>
        </w:rPr>
        <w:t>吴丹萍</w:t>
      </w:r>
      <w:r>
        <w:rPr>
          <w:rFonts w:hint="eastAsia" w:ascii="新宋体" w:hAnsi="新宋体" w:eastAsia="新宋体" w:cs="宋体"/>
          <w:kern w:val="0"/>
          <w:sz w:val="24"/>
        </w:rPr>
        <w:t>收</w:t>
      </w:r>
      <w:r>
        <w:rPr>
          <w:rFonts w:hint="eastAsia" w:ascii="新宋体" w:hAnsi="新宋体" w:eastAsia="新宋体" w:cs="宋体"/>
          <w:kern w:val="0"/>
          <w:sz w:val="24"/>
          <w:lang w:val="en-US" w:eastAsia="zh-CN"/>
        </w:rPr>
        <w:t>13817335267</w:t>
      </w:r>
      <w:bookmarkStart w:id="164" w:name="_GoBack"/>
      <w:bookmarkEnd w:id="164"/>
      <w:r>
        <w:rPr>
          <w:rFonts w:hint="eastAsia" w:ascii="新宋体" w:hAnsi="新宋体" w:eastAsia="新宋体" w:cs="宋体"/>
          <w:kern w:val="0"/>
          <w:sz w:val="24"/>
        </w:rPr>
        <w:t>。以快递邮件投标的，需按规定密封后再装入快递包裹，但招标人对快递邮件是否准确送达不负责。</w:t>
      </w:r>
    </w:p>
    <w:p>
      <w:pPr>
        <w:widowControl/>
        <w:snapToGrid w:val="0"/>
        <w:jc w:val="left"/>
        <w:rPr>
          <w:rFonts w:ascii="新宋体" w:hAnsi="新宋体" w:eastAsia="新宋体" w:cs="宋体"/>
          <w:kern w:val="0"/>
          <w:sz w:val="24"/>
        </w:rPr>
      </w:pPr>
      <w:r>
        <w:rPr>
          <w:rFonts w:hint="eastAsia" w:ascii="新宋体" w:hAnsi="新宋体" w:eastAsia="新宋体" w:cs="宋体"/>
          <w:kern w:val="0"/>
          <w:sz w:val="24"/>
        </w:rPr>
        <w:t>13</w:t>
      </w:r>
      <w:r>
        <w:rPr>
          <w:rFonts w:ascii="新宋体" w:hAnsi="新宋体" w:eastAsia="新宋体" w:cs="宋体"/>
          <w:kern w:val="0"/>
          <w:sz w:val="24"/>
        </w:rPr>
        <w:t>.</w:t>
      </w:r>
      <w:r>
        <w:rPr>
          <w:rFonts w:hint="eastAsia" w:ascii="新宋体" w:hAnsi="新宋体" w:eastAsia="新宋体" w:cs="宋体"/>
          <w:kern w:val="0"/>
          <w:sz w:val="24"/>
        </w:rPr>
        <w:t>3 “投标函”文件夹包括：</w:t>
      </w:r>
    </w:p>
    <w:p>
      <w:pPr>
        <w:widowControl/>
        <w:snapToGrid w:val="0"/>
        <w:jc w:val="left"/>
        <w:rPr>
          <w:rFonts w:ascii="新宋体" w:hAnsi="新宋体" w:eastAsia="新宋体" w:cs="宋体"/>
          <w:kern w:val="0"/>
          <w:sz w:val="24"/>
        </w:rPr>
      </w:pPr>
      <w:r>
        <w:rPr>
          <w:rFonts w:hint="eastAsia" w:ascii="新宋体" w:hAnsi="新宋体" w:eastAsia="新宋体" w:cs="宋体"/>
          <w:kern w:val="0"/>
          <w:sz w:val="24"/>
        </w:rPr>
        <w:t>（1）投标函；</w:t>
      </w:r>
    </w:p>
    <w:p>
      <w:pPr>
        <w:widowControl/>
        <w:snapToGrid w:val="0"/>
        <w:jc w:val="left"/>
        <w:rPr>
          <w:rFonts w:ascii="新宋体" w:hAnsi="新宋体" w:eastAsia="新宋体" w:cs="宋体"/>
          <w:kern w:val="0"/>
          <w:sz w:val="24"/>
        </w:rPr>
      </w:pPr>
      <w:r>
        <w:rPr>
          <w:rFonts w:hint="eastAsia" w:ascii="新宋体" w:hAnsi="新宋体" w:eastAsia="新宋体" w:cs="宋体"/>
          <w:kern w:val="0"/>
          <w:sz w:val="24"/>
        </w:rPr>
        <w:t>（2）</w:t>
      </w:r>
      <w:r>
        <w:rPr>
          <w:rFonts w:ascii="新宋体" w:hAnsi="新宋体" w:eastAsia="新宋体" w:cs="宋体"/>
          <w:kern w:val="0"/>
          <w:sz w:val="24"/>
        </w:rPr>
        <w:t>法定代表人授权委托书</w:t>
      </w:r>
      <w:r>
        <w:rPr>
          <w:rFonts w:hint="eastAsia" w:ascii="新宋体" w:hAnsi="新宋体" w:eastAsia="新宋体" w:cs="宋体"/>
          <w:kern w:val="0"/>
          <w:sz w:val="24"/>
        </w:rPr>
        <w:t>；</w:t>
      </w:r>
    </w:p>
    <w:p>
      <w:pPr>
        <w:widowControl/>
        <w:snapToGrid w:val="0"/>
        <w:jc w:val="left"/>
        <w:rPr>
          <w:rFonts w:ascii="新宋体" w:hAnsi="新宋体" w:eastAsia="新宋体" w:cs="宋体"/>
          <w:kern w:val="0"/>
          <w:sz w:val="24"/>
        </w:rPr>
      </w:pPr>
      <w:r>
        <w:rPr>
          <w:rFonts w:hint="eastAsia" w:ascii="新宋体" w:hAnsi="新宋体" w:eastAsia="新宋体" w:cs="宋体"/>
          <w:kern w:val="0"/>
          <w:sz w:val="24"/>
        </w:rPr>
        <w:t>（3）廉洁合作供应商承诺书；</w:t>
      </w:r>
    </w:p>
    <w:p>
      <w:pPr>
        <w:widowControl/>
        <w:snapToGrid w:val="0"/>
        <w:jc w:val="left"/>
        <w:rPr>
          <w:rFonts w:ascii="新宋体" w:hAnsi="新宋体" w:eastAsia="新宋体" w:cs="宋体"/>
          <w:kern w:val="0"/>
          <w:sz w:val="24"/>
        </w:rPr>
      </w:pPr>
      <w:r>
        <w:rPr>
          <w:rFonts w:hint="eastAsia" w:ascii="新宋体" w:hAnsi="新宋体" w:eastAsia="新宋体" w:cs="宋体"/>
          <w:kern w:val="0"/>
          <w:sz w:val="24"/>
        </w:rPr>
        <w:t>（4）投标人简介；</w:t>
      </w:r>
    </w:p>
    <w:p>
      <w:pPr>
        <w:widowControl/>
        <w:snapToGrid w:val="0"/>
        <w:jc w:val="left"/>
        <w:rPr>
          <w:rFonts w:ascii="新宋体" w:hAnsi="新宋体" w:eastAsia="新宋体" w:cs="宋体"/>
          <w:kern w:val="0"/>
          <w:sz w:val="24"/>
        </w:rPr>
      </w:pPr>
      <w:r>
        <w:rPr>
          <w:rFonts w:hint="eastAsia" w:ascii="新宋体" w:hAnsi="新宋体" w:eastAsia="新宋体" w:cs="宋体"/>
          <w:kern w:val="0"/>
          <w:sz w:val="24"/>
        </w:rPr>
        <w:t>（5）主要材料上年度价格走势图；</w:t>
      </w:r>
    </w:p>
    <w:p>
      <w:pPr>
        <w:widowControl/>
        <w:snapToGrid w:val="0"/>
        <w:jc w:val="left"/>
        <w:rPr>
          <w:rFonts w:ascii="新宋体" w:hAnsi="新宋体" w:eastAsia="新宋体" w:cs="宋体"/>
          <w:kern w:val="0"/>
          <w:sz w:val="24"/>
        </w:rPr>
      </w:pPr>
      <w:r>
        <w:rPr>
          <w:rFonts w:hint="eastAsia" w:ascii="新宋体" w:hAnsi="新宋体" w:eastAsia="新宋体" w:cs="宋体"/>
          <w:kern w:val="0"/>
          <w:sz w:val="24"/>
        </w:rPr>
        <w:t>（6）售前及售后服务承诺书；</w:t>
      </w:r>
    </w:p>
    <w:p>
      <w:pPr>
        <w:widowControl/>
        <w:snapToGrid w:val="0"/>
        <w:jc w:val="left"/>
        <w:rPr>
          <w:rFonts w:ascii="新宋体" w:hAnsi="新宋体" w:eastAsia="新宋体" w:cs="宋体"/>
          <w:kern w:val="0"/>
          <w:sz w:val="24"/>
        </w:rPr>
      </w:pPr>
      <w:r>
        <w:rPr>
          <w:rFonts w:hint="eastAsia" w:ascii="新宋体" w:hAnsi="新宋体" w:eastAsia="新宋体" w:cs="宋体"/>
          <w:kern w:val="0"/>
          <w:sz w:val="24"/>
        </w:rPr>
        <w:t>（7）投标资质文件；</w:t>
      </w:r>
    </w:p>
    <w:p>
      <w:pPr>
        <w:widowControl/>
        <w:snapToGrid w:val="0"/>
        <w:jc w:val="left"/>
        <w:rPr>
          <w:rFonts w:ascii="新宋体" w:hAnsi="新宋体" w:eastAsia="新宋体" w:cs="宋体"/>
          <w:kern w:val="0"/>
          <w:sz w:val="24"/>
        </w:rPr>
      </w:pPr>
      <w:r>
        <w:rPr>
          <w:rFonts w:hint="eastAsia" w:ascii="新宋体" w:hAnsi="新宋体" w:eastAsia="新宋体" w:cs="宋体"/>
          <w:kern w:val="0"/>
          <w:sz w:val="24"/>
        </w:rPr>
        <w:t>（8）连续3年对外财务报表；</w:t>
      </w:r>
    </w:p>
    <w:p>
      <w:pPr>
        <w:widowControl/>
        <w:snapToGrid w:val="0"/>
        <w:jc w:val="left"/>
        <w:rPr>
          <w:rFonts w:ascii="新宋体" w:hAnsi="新宋体" w:eastAsia="新宋体" w:cs="宋体"/>
          <w:kern w:val="0"/>
          <w:sz w:val="24"/>
        </w:rPr>
      </w:pPr>
      <w:r>
        <w:rPr>
          <w:rFonts w:hint="eastAsia" w:ascii="新宋体" w:hAnsi="新宋体" w:eastAsia="新宋体" w:cs="宋体"/>
          <w:kern w:val="0"/>
          <w:sz w:val="24"/>
        </w:rPr>
        <w:t>（9）半年内有效的第三方型式检测报告；</w:t>
      </w:r>
    </w:p>
    <w:p>
      <w:pPr>
        <w:widowControl/>
        <w:snapToGrid w:val="0"/>
        <w:jc w:val="left"/>
        <w:rPr>
          <w:rFonts w:ascii="新宋体" w:hAnsi="新宋体" w:eastAsia="新宋体" w:cs="宋体"/>
          <w:kern w:val="0"/>
          <w:sz w:val="24"/>
        </w:rPr>
      </w:pPr>
      <w:r>
        <w:rPr>
          <w:rFonts w:hint="eastAsia" w:ascii="新宋体" w:hAnsi="新宋体" w:eastAsia="新宋体" w:cs="宋体"/>
          <w:kern w:val="0"/>
          <w:sz w:val="24"/>
        </w:rPr>
        <w:t>（10）产品样本册；</w:t>
      </w:r>
    </w:p>
    <w:p>
      <w:pPr>
        <w:widowControl/>
        <w:snapToGrid w:val="0"/>
        <w:jc w:val="left"/>
        <w:rPr>
          <w:rFonts w:ascii="新宋体" w:hAnsi="新宋体" w:eastAsia="新宋体" w:cs="宋体"/>
          <w:kern w:val="0"/>
          <w:sz w:val="24"/>
        </w:rPr>
      </w:pPr>
      <w:r>
        <w:rPr>
          <w:rFonts w:hint="eastAsia" w:ascii="新宋体" w:hAnsi="新宋体" w:eastAsia="新宋体" w:cs="宋体"/>
          <w:kern w:val="0"/>
          <w:sz w:val="24"/>
        </w:rPr>
        <w:t>（11）投标人认为需要加以说明的其他内容；</w:t>
      </w:r>
    </w:p>
    <w:p>
      <w:pPr>
        <w:widowControl/>
        <w:snapToGrid w:val="0"/>
        <w:jc w:val="left"/>
        <w:rPr>
          <w:rFonts w:ascii="新宋体" w:hAnsi="新宋体" w:eastAsia="新宋体" w:cs="宋体"/>
          <w:kern w:val="0"/>
          <w:sz w:val="24"/>
        </w:rPr>
      </w:pPr>
      <w:r>
        <w:rPr>
          <w:rFonts w:hint="eastAsia" w:ascii="新宋体" w:hAnsi="新宋体" w:eastAsia="新宋体" w:cs="宋体"/>
          <w:kern w:val="0"/>
          <w:sz w:val="24"/>
        </w:rPr>
        <w:t>13</w:t>
      </w:r>
      <w:r>
        <w:rPr>
          <w:rFonts w:ascii="新宋体" w:hAnsi="新宋体" w:eastAsia="新宋体" w:cs="宋体"/>
          <w:kern w:val="0"/>
          <w:sz w:val="24"/>
        </w:rPr>
        <w:t>.</w:t>
      </w:r>
      <w:r>
        <w:rPr>
          <w:rFonts w:hint="eastAsia" w:ascii="新宋体" w:hAnsi="新宋体" w:eastAsia="新宋体" w:cs="宋体"/>
          <w:kern w:val="0"/>
          <w:sz w:val="24"/>
        </w:rPr>
        <w:t>5 “商务标”文件夹包括：</w:t>
      </w:r>
    </w:p>
    <w:p>
      <w:pPr>
        <w:widowControl/>
        <w:snapToGrid w:val="0"/>
        <w:jc w:val="left"/>
        <w:rPr>
          <w:rFonts w:ascii="新宋体" w:hAnsi="新宋体" w:eastAsia="新宋体" w:cs="宋体"/>
          <w:kern w:val="0"/>
          <w:sz w:val="24"/>
        </w:rPr>
      </w:pPr>
      <w:r>
        <w:rPr>
          <w:rFonts w:hint="eastAsia" w:ascii="新宋体" w:hAnsi="新宋体" w:eastAsia="新宋体" w:cs="宋体"/>
          <w:kern w:val="0"/>
          <w:sz w:val="24"/>
        </w:rPr>
        <w:t xml:space="preserve"> （1）投标价格表 </w:t>
      </w:r>
    </w:p>
    <w:p>
      <w:pPr>
        <w:ind w:firstLine="482" w:firstLineChars="200"/>
        <w:outlineLvl w:val="2"/>
        <w:rPr>
          <w:rFonts w:ascii="黑体" w:eastAsia="黑体"/>
          <w:b/>
          <w:sz w:val="24"/>
        </w:rPr>
      </w:pPr>
      <w:bookmarkStart w:id="113" w:name="_Toc213127798"/>
      <w:bookmarkStart w:id="114" w:name="_Toc185233327"/>
      <w:bookmarkStart w:id="115" w:name="_Toc125451461"/>
      <w:bookmarkStart w:id="116" w:name="_Toc94175717"/>
      <w:bookmarkStart w:id="117" w:name="_Toc137103332"/>
      <w:bookmarkStart w:id="118" w:name="_Toc151054372"/>
      <w:bookmarkStart w:id="119" w:name="_Toc155763453"/>
      <w:r>
        <w:rPr>
          <w:rFonts w:hint="eastAsia" w:ascii="黑体" w:eastAsia="黑体"/>
          <w:b/>
          <w:sz w:val="24"/>
        </w:rPr>
        <w:t>14. 提交投标文件的截止日期</w:t>
      </w:r>
      <w:bookmarkEnd w:id="113"/>
      <w:bookmarkEnd w:id="114"/>
      <w:bookmarkEnd w:id="115"/>
      <w:bookmarkEnd w:id="116"/>
      <w:bookmarkEnd w:id="117"/>
      <w:bookmarkEnd w:id="118"/>
      <w:bookmarkEnd w:id="119"/>
    </w:p>
    <w:p>
      <w:pPr>
        <w:widowControl/>
        <w:snapToGrid w:val="0"/>
        <w:jc w:val="left"/>
        <w:rPr>
          <w:rFonts w:ascii="新宋体" w:hAnsi="新宋体" w:eastAsia="新宋体" w:cs="宋体"/>
          <w:kern w:val="0"/>
          <w:sz w:val="24"/>
        </w:rPr>
      </w:pPr>
      <w:r>
        <w:rPr>
          <w:rFonts w:hint="eastAsia" w:ascii="新宋体" w:hAnsi="新宋体" w:eastAsia="新宋体" w:cs="宋体"/>
          <w:kern w:val="0"/>
          <w:sz w:val="24"/>
        </w:rPr>
        <w:t>14</w:t>
      </w:r>
      <w:r>
        <w:rPr>
          <w:rFonts w:ascii="新宋体" w:hAnsi="新宋体" w:eastAsia="新宋体" w:cs="宋体"/>
          <w:kern w:val="0"/>
          <w:sz w:val="24"/>
        </w:rPr>
        <w:t>.1</w:t>
      </w:r>
      <w:r>
        <w:rPr>
          <w:rFonts w:hint="eastAsia" w:ascii="新宋体" w:hAnsi="新宋体" w:eastAsia="新宋体" w:cs="宋体"/>
          <w:kern w:val="0"/>
          <w:sz w:val="24"/>
        </w:rPr>
        <w:t>投标人应按本公司通知规定的时间和形式递交投标文件及文件密码，逾期递交恕不接收。</w:t>
      </w:r>
    </w:p>
    <w:p>
      <w:pPr>
        <w:widowControl/>
        <w:snapToGrid w:val="0"/>
        <w:jc w:val="left"/>
        <w:rPr>
          <w:rFonts w:ascii="新宋体" w:hAnsi="新宋体" w:eastAsia="新宋体" w:cs="宋体"/>
          <w:kern w:val="0"/>
          <w:sz w:val="24"/>
        </w:rPr>
      </w:pPr>
      <w:r>
        <w:rPr>
          <w:rFonts w:hint="eastAsia" w:ascii="新宋体" w:hAnsi="新宋体" w:eastAsia="新宋体" w:cs="宋体"/>
          <w:kern w:val="0"/>
          <w:sz w:val="24"/>
        </w:rPr>
        <w:t xml:space="preserve">14.2 </w:t>
      </w:r>
      <w:bookmarkStart w:id="120" w:name="_Toc125451462"/>
      <w:bookmarkStart w:id="121" w:name="_Toc185233328"/>
      <w:bookmarkStart w:id="122" w:name="_Toc137103333"/>
      <w:bookmarkStart w:id="123" w:name="_Toc155763454"/>
      <w:bookmarkStart w:id="124" w:name="_Toc151054373"/>
      <w:bookmarkStart w:id="125" w:name="_Toc94175718"/>
      <w:r>
        <w:rPr>
          <w:rFonts w:hint="eastAsia" w:ascii="新宋体" w:hAnsi="新宋体" w:eastAsia="新宋体" w:cs="宋体"/>
          <w:kern w:val="0"/>
          <w:sz w:val="24"/>
        </w:rPr>
        <w:t>提交投标文件的截止日期</w:t>
      </w:r>
      <w:r>
        <w:rPr>
          <w:rFonts w:hint="eastAsia" w:ascii="新宋体" w:hAnsi="新宋体" w:eastAsia="新宋体" w:cs="宋体"/>
          <w:kern w:val="0"/>
          <w:sz w:val="24"/>
          <w:highlight w:val="yellow"/>
        </w:rPr>
        <w:t>__</w:t>
      </w:r>
      <w:r>
        <w:rPr>
          <w:rFonts w:hint="eastAsia" w:ascii="新宋体" w:hAnsi="新宋体" w:eastAsia="新宋体" w:cs="宋体"/>
          <w:kern w:val="0"/>
          <w:sz w:val="24"/>
          <w:highlight w:val="yellow"/>
          <w:u w:val="single"/>
        </w:rPr>
        <w:t>2019年6月10日_</w:t>
      </w:r>
      <w:r>
        <w:rPr>
          <w:rFonts w:hint="eastAsia" w:ascii="新宋体" w:hAnsi="新宋体" w:eastAsia="新宋体" w:cs="宋体"/>
          <w:kern w:val="0"/>
          <w:sz w:val="24"/>
          <w:highlight w:val="yellow"/>
        </w:rPr>
        <w:t>_</w:t>
      </w:r>
    </w:p>
    <w:p>
      <w:pPr>
        <w:ind w:firstLine="482" w:firstLineChars="200"/>
        <w:outlineLvl w:val="2"/>
        <w:rPr>
          <w:rFonts w:ascii="黑体" w:eastAsia="黑体"/>
          <w:b/>
          <w:sz w:val="24"/>
        </w:rPr>
      </w:pPr>
      <w:bookmarkStart w:id="126" w:name="_Toc213127799"/>
      <w:r>
        <w:rPr>
          <w:rFonts w:hint="eastAsia" w:ascii="黑体" w:eastAsia="黑体"/>
          <w:b/>
          <w:sz w:val="24"/>
        </w:rPr>
        <w:t>15. 投标文件的修改和撤销</w:t>
      </w:r>
      <w:bookmarkEnd w:id="120"/>
      <w:bookmarkEnd w:id="121"/>
      <w:bookmarkEnd w:id="122"/>
      <w:bookmarkEnd w:id="123"/>
      <w:bookmarkEnd w:id="124"/>
      <w:bookmarkEnd w:id="125"/>
      <w:bookmarkEnd w:id="126"/>
    </w:p>
    <w:p>
      <w:pPr>
        <w:widowControl/>
        <w:snapToGrid w:val="0"/>
        <w:jc w:val="left"/>
        <w:rPr>
          <w:rFonts w:ascii="新宋体" w:hAnsi="新宋体" w:eastAsia="新宋体" w:cs="宋体"/>
          <w:kern w:val="0"/>
          <w:sz w:val="24"/>
        </w:rPr>
      </w:pPr>
      <w:r>
        <w:rPr>
          <w:rFonts w:hint="eastAsia" w:ascii="新宋体" w:hAnsi="新宋体" w:eastAsia="新宋体" w:cs="宋体"/>
          <w:kern w:val="0"/>
          <w:sz w:val="24"/>
        </w:rPr>
        <w:t>15</w:t>
      </w:r>
      <w:r>
        <w:rPr>
          <w:rFonts w:ascii="新宋体" w:hAnsi="新宋体" w:eastAsia="新宋体" w:cs="宋体"/>
          <w:kern w:val="0"/>
          <w:sz w:val="24"/>
        </w:rPr>
        <w:t xml:space="preserve">.1 </w:t>
      </w:r>
      <w:r>
        <w:rPr>
          <w:rFonts w:hint="eastAsia" w:ascii="新宋体" w:hAnsi="新宋体" w:eastAsia="新宋体" w:cs="宋体"/>
          <w:kern w:val="0"/>
          <w:sz w:val="24"/>
        </w:rPr>
        <w:t>投标人在投标截止日期前可对其投标文件进行修改或撤销，投标截止日期后不得修改投标文件。</w:t>
      </w:r>
    </w:p>
    <w:p>
      <w:pPr>
        <w:widowControl/>
        <w:snapToGrid w:val="0"/>
        <w:jc w:val="left"/>
        <w:rPr>
          <w:rFonts w:ascii="新宋体" w:hAnsi="新宋体" w:eastAsia="新宋体" w:cs="宋体"/>
          <w:kern w:val="0"/>
          <w:sz w:val="24"/>
        </w:rPr>
      </w:pPr>
      <w:r>
        <w:rPr>
          <w:rFonts w:hint="eastAsia" w:ascii="新宋体" w:hAnsi="新宋体" w:eastAsia="新宋体" w:cs="宋体"/>
          <w:kern w:val="0"/>
          <w:sz w:val="24"/>
        </w:rPr>
        <w:t>15.2投标人不得在投标截止之日起至规定的投标文件有效期满前撤销投标文件，否则，即为投标人违约。</w:t>
      </w:r>
      <w:bookmarkStart w:id="127" w:name="_Toc94175719"/>
      <w:bookmarkStart w:id="128" w:name="_Toc155763455"/>
      <w:bookmarkStart w:id="129" w:name="_Toc151054374"/>
      <w:bookmarkStart w:id="130" w:name="_Toc185233329"/>
      <w:bookmarkStart w:id="131" w:name="_Toc125451463"/>
      <w:bookmarkStart w:id="132" w:name="_Toc137103334"/>
    </w:p>
    <w:p>
      <w:pPr>
        <w:widowControl/>
        <w:snapToGrid w:val="0"/>
        <w:jc w:val="left"/>
        <w:rPr>
          <w:rFonts w:ascii="新宋体" w:hAnsi="新宋体" w:eastAsia="新宋体" w:cs="宋体"/>
          <w:kern w:val="0"/>
          <w:sz w:val="24"/>
        </w:rPr>
      </w:pPr>
    </w:p>
    <w:p>
      <w:pPr>
        <w:outlineLvl w:val="1"/>
      </w:pPr>
      <w:bookmarkStart w:id="133" w:name="_Toc213127800"/>
      <w:r>
        <w:rPr>
          <w:rFonts w:hint="eastAsia" w:ascii="黑体" w:hAnsi="宋体" w:eastAsia="黑体"/>
          <w:b/>
          <w:sz w:val="28"/>
        </w:rPr>
        <w:t>四、开标、评标</w:t>
      </w:r>
      <w:bookmarkEnd w:id="127"/>
      <w:bookmarkEnd w:id="128"/>
      <w:bookmarkEnd w:id="129"/>
      <w:bookmarkEnd w:id="130"/>
      <w:bookmarkEnd w:id="131"/>
      <w:bookmarkEnd w:id="132"/>
      <w:bookmarkEnd w:id="133"/>
      <w:bookmarkStart w:id="134" w:name="_Toc155763456"/>
      <w:bookmarkStart w:id="135" w:name="_Toc185233330"/>
      <w:bookmarkStart w:id="136" w:name="_Toc125451464"/>
      <w:bookmarkStart w:id="137" w:name="_Toc151054375"/>
      <w:bookmarkStart w:id="138" w:name="_Toc94175720"/>
      <w:bookmarkStart w:id="139" w:name="_Toc137103335"/>
      <w:r>
        <w:rPr>
          <w:rFonts w:hint="eastAsia" w:ascii="黑体" w:hAnsi="宋体" w:eastAsia="黑体"/>
          <w:b/>
          <w:sz w:val="28"/>
        </w:rPr>
        <w:t>与中标</w:t>
      </w:r>
    </w:p>
    <w:p>
      <w:pPr>
        <w:ind w:firstLine="482" w:firstLineChars="200"/>
        <w:outlineLvl w:val="2"/>
        <w:rPr>
          <w:rFonts w:ascii="黑体" w:eastAsia="黑体"/>
          <w:b/>
          <w:sz w:val="24"/>
        </w:rPr>
      </w:pPr>
      <w:bookmarkStart w:id="140" w:name="_Toc213127801"/>
      <w:r>
        <w:rPr>
          <w:rFonts w:hint="eastAsia" w:ascii="黑体" w:eastAsia="黑体"/>
          <w:b/>
          <w:sz w:val="24"/>
        </w:rPr>
        <w:t>16. 开标</w:t>
      </w:r>
      <w:bookmarkEnd w:id="134"/>
      <w:bookmarkEnd w:id="135"/>
      <w:bookmarkEnd w:id="136"/>
      <w:bookmarkEnd w:id="137"/>
      <w:bookmarkEnd w:id="138"/>
      <w:bookmarkEnd w:id="139"/>
      <w:bookmarkEnd w:id="140"/>
    </w:p>
    <w:p>
      <w:pPr>
        <w:widowControl/>
        <w:snapToGrid w:val="0"/>
        <w:jc w:val="left"/>
        <w:rPr>
          <w:rFonts w:ascii="新宋体" w:hAnsi="新宋体" w:eastAsia="新宋体" w:cs="宋体"/>
          <w:kern w:val="0"/>
          <w:sz w:val="24"/>
        </w:rPr>
      </w:pPr>
      <w:r>
        <w:rPr>
          <w:rFonts w:hint="eastAsia" w:ascii="新宋体" w:hAnsi="新宋体" w:eastAsia="新宋体" w:cs="宋体"/>
          <w:kern w:val="0"/>
          <w:sz w:val="24"/>
        </w:rPr>
        <w:t>本次招标采取评委评标的方式进行，开标时间2019年6月12日。</w:t>
      </w:r>
    </w:p>
    <w:p>
      <w:pPr>
        <w:ind w:firstLine="482" w:firstLineChars="200"/>
        <w:outlineLvl w:val="2"/>
        <w:rPr>
          <w:rFonts w:ascii="黑体" w:eastAsia="黑体"/>
          <w:b/>
          <w:sz w:val="24"/>
        </w:rPr>
      </w:pPr>
      <w:bookmarkStart w:id="141" w:name="_Toc151054376"/>
      <w:bookmarkStart w:id="142" w:name="_Toc137103336"/>
      <w:bookmarkStart w:id="143" w:name="_Toc155763457"/>
      <w:bookmarkStart w:id="144" w:name="_Toc125451465"/>
      <w:bookmarkStart w:id="145" w:name="_Toc94175721"/>
      <w:bookmarkStart w:id="146" w:name="_Toc185233331"/>
      <w:bookmarkStart w:id="147" w:name="_Toc213127802"/>
      <w:r>
        <w:rPr>
          <w:rFonts w:hint="eastAsia" w:ascii="黑体" w:eastAsia="黑体"/>
          <w:b/>
          <w:sz w:val="24"/>
        </w:rPr>
        <w:t>17. 评标</w:t>
      </w:r>
      <w:bookmarkEnd w:id="141"/>
      <w:bookmarkEnd w:id="142"/>
      <w:bookmarkEnd w:id="143"/>
      <w:bookmarkEnd w:id="144"/>
      <w:bookmarkEnd w:id="145"/>
      <w:bookmarkEnd w:id="146"/>
      <w:bookmarkEnd w:id="147"/>
    </w:p>
    <w:p>
      <w:pPr>
        <w:widowControl/>
        <w:snapToGrid w:val="0"/>
        <w:jc w:val="left"/>
        <w:rPr>
          <w:rFonts w:ascii="新宋体" w:hAnsi="新宋体" w:eastAsia="新宋体" w:cs="宋体"/>
          <w:kern w:val="0"/>
          <w:sz w:val="24"/>
        </w:rPr>
      </w:pPr>
      <w:r>
        <w:rPr>
          <w:rFonts w:hint="eastAsia" w:ascii="新宋体" w:hAnsi="新宋体" w:eastAsia="新宋体" w:cs="宋体"/>
          <w:kern w:val="0"/>
          <w:sz w:val="24"/>
        </w:rPr>
        <w:t>17.1在招标大会后，由本公司招标委员会对投标文件先进行初审、整理，再组织评定。评标时考虑以下因素：</w:t>
      </w:r>
    </w:p>
    <w:p>
      <w:pPr>
        <w:widowControl/>
        <w:snapToGrid w:val="0"/>
        <w:ind w:left="707" w:leftChars="135" w:hanging="424" w:hangingChars="177"/>
        <w:jc w:val="left"/>
        <w:rPr>
          <w:rFonts w:ascii="新宋体" w:hAnsi="新宋体" w:eastAsia="新宋体" w:cs="宋体"/>
          <w:kern w:val="0"/>
          <w:sz w:val="24"/>
        </w:rPr>
      </w:pPr>
      <w:r>
        <w:rPr>
          <w:rFonts w:hint="eastAsia" w:ascii="新宋体" w:hAnsi="新宋体" w:eastAsia="新宋体" w:cs="宋体"/>
          <w:kern w:val="0"/>
          <w:sz w:val="24"/>
        </w:rPr>
        <w:t>（1）投标方的实力、资质、信誉；</w:t>
      </w:r>
    </w:p>
    <w:p>
      <w:pPr>
        <w:widowControl/>
        <w:snapToGrid w:val="0"/>
        <w:ind w:left="707" w:leftChars="135" w:hanging="424" w:hangingChars="177"/>
        <w:jc w:val="left"/>
        <w:rPr>
          <w:rFonts w:ascii="新宋体" w:hAnsi="新宋体" w:eastAsia="新宋体" w:cs="宋体"/>
          <w:kern w:val="0"/>
          <w:sz w:val="24"/>
        </w:rPr>
      </w:pPr>
      <w:r>
        <w:rPr>
          <w:rFonts w:hint="eastAsia" w:ascii="新宋体" w:hAnsi="新宋体" w:eastAsia="新宋体" w:cs="宋体"/>
          <w:kern w:val="0"/>
          <w:sz w:val="24"/>
        </w:rPr>
        <w:t>（2）产品技术能力和品质保障能力；</w:t>
      </w:r>
    </w:p>
    <w:p>
      <w:pPr>
        <w:widowControl/>
        <w:snapToGrid w:val="0"/>
        <w:ind w:left="707" w:leftChars="135" w:hanging="424" w:hangingChars="177"/>
        <w:jc w:val="left"/>
        <w:rPr>
          <w:rFonts w:ascii="新宋体" w:hAnsi="新宋体" w:eastAsia="新宋体" w:cs="宋体"/>
          <w:kern w:val="0"/>
          <w:sz w:val="24"/>
        </w:rPr>
      </w:pPr>
      <w:r>
        <w:rPr>
          <w:rFonts w:hint="eastAsia" w:ascii="新宋体" w:hAnsi="新宋体" w:eastAsia="新宋体" w:cs="宋体"/>
          <w:kern w:val="0"/>
          <w:sz w:val="24"/>
        </w:rPr>
        <w:t>（3）产品的性能、产品互换性和可靠性；</w:t>
      </w:r>
    </w:p>
    <w:p>
      <w:pPr>
        <w:widowControl/>
        <w:snapToGrid w:val="0"/>
        <w:ind w:left="707" w:leftChars="135" w:hanging="424" w:hangingChars="177"/>
        <w:jc w:val="left"/>
        <w:rPr>
          <w:rFonts w:ascii="新宋体" w:hAnsi="新宋体" w:eastAsia="新宋体" w:cs="宋体"/>
          <w:kern w:val="0"/>
          <w:sz w:val="24"/>
        </w:rPr>
      </w:pPr>
      <w:r>
        <w:rPr>
          <w:rFonts w:hint="eastAsia" w:ascii="新宋体" w:hAnsi="新宋体" w:eastAsia="新宋体" w:cs="宋体"/>
          <w:kern w:val="0"/>
          <w:sz w:val="24"/>
        </w:rPr>
        <w:t>（4）标书中产品成本组成（主要材料单价、管理费、运输费及人工水电费等）；</w:t>
      </w:r>
    </w:p>
    <w:p>
      <w:pPr>
        <w:widowControl/>
        <w:snapToGrid w:val="0"/>
        <w:ind w:left="707" w:leftChars="135" w:hanging="424" w:hangingChars="177"/>
        <w:jc w:val="left"/>
        <w:rPr>
          <w:rFonts w:ascii="新宋体" w:hAnsi="新宋体" w:eastAsia="新宋体" w:cs="宋体"/>
          <w:kern w:val="0"/>
          <w:sz w:val="24"/>
        </w:rPr>
      </w:pPr>
      <w:r>
        <w:rPr>
          <w:rFonts w:hint="eastAsia" w:ascii="新宋体" w:hAnsi="新宋体" w:eastAsia="新宋体" w:cs="宋体"/>
          <w:kern w:val="0"/>
          <w:sz w:val="24"/>
        </w:rPr>
        <w:t>（5）产品的交货时间、运输条件；</w:t>
      </w:r>
    </w:p>
    <w:p>
      <w:pPr>
        <w:widowControl/>
        <w:snapToGrid w:val="0"/>
        <w:ind w:left="707" w:leftChars="135" w:hanging="424" w:hangingChars="177"/>
        <w:jc w:val="left"/>
        <w:rPr>
          <w:rFonts w:ascii="新宋体" w:hAnsi="新宋体" w:eastAsia="新宋体" w:cs="宋体"/>
          <w:kern w:val="0"/>
          <w:sz w:val="24"/>
        </w:rPr>
      </w:pPr>
      <w:r>
        <w:rPr>
          <w:rFonts w:hint="eastAsia" w:ascii="新宋体" w:hAnsi="新宋体" w:eastAsia="新宋体" w:cs="宋体"/>
          <w:kern w:val="0"/>
          <w:sz w:val="24"/>
        </w:rPr>
        <w:t>（6）投标方行业地位及往年合作关系（主要考察合作年限和服务质量）；</w:t>
      </w:r>
    </w:p>
    <w:p>
      <w:pPr>
        <w:widowControl/>
        <w:snapToGrid w:val="0"/>
        <w:ind w:left="707" w:leftChars="135" w:hanging="424" w:hangingChars="177"/>
        <w:jc w:val="left"/>
        <w:rPr>
          <w:rFonts w:hint="eastAsia" w:ascii="新宋体" w:hAnsi="新宋体" w:eastAsia="新宋体" w:cs="宋体"/>
          <w:kern w:val="0"/>
          <w:sz w:val="24"/>
        </w:rPr>
      </w:pPr>
      <w:r>
        <w:rPr>
          <w:rFonts w:hint="eastAsia" w:ascii="新宋体" w:hAnsi="新宋体" w:eastAsia="新宋体" w:cs="宋体"/>
          <w:kern w:val="0"/>
          <w:sz w:val="24"/>
        </w:rPr>
        <w:t>（7）产品价格和售后服务。</w:t>
      </w:r>
    </w:p>
    <w:p>
      <w:pPr>
        <w:widowControl/>
        <w:snapToGrid w:val="0"/>
        <w:jc w:val="left"/>
        <w:rPr>
          <w:rFonts w:hint="eastAsia" w:ascii="新宋体" w:hAnsi="新宋体" w:eastAsia="新宋体" w:cs="宋体"/>
          <w:kern w:val="0"/>
          <w:sz w:val="24"/>
        </w:rPr>
      </w:pPr>
      <w:r>
        <w:rPr>
          <w:rFonts w:hint="eastAsia" w:ascii="新宋体" w:hAnsi="新宋体" w:eastAsia="新宋体" w:cs="宋体"/>
          <w:kern w:val="0"/>
          <w:sz w:val="24"/>
        </w:rPr>
        <w:t>17.2 议标时间：2019年6月13日—6月16日，地点：无锡或上海，具体时间及地点另行通知。</w:t>
      </w:r>
    </w:p>
    <w:p>
      <w:pPr>
        <w:ind w:firstLine="482" w:firstLineChars="200"/>
        <w:outlineLvl w:val="2"/>
        <w:rPr>
          <w:rFonts w:ascii="黑体" w:eastAsia="黑体"/>
          <w:b/>
          <w:sz w:val="24"/>
        </w:rPr>
      </w:pPr>
      <w:r>
        <w:rPr>
          <w:rFonts w:hint="eastAsia" w:ascii="黑体" w:eastAsia="黑体"/>
          <w:b/>
          <w:sz w:val="24"/>
        </w:rPr>
        <w:t>18. 中标</w:t>
      </w:r>
    </w:p>
    <w:p>
      <w:pPr>
        <w:widowControl/>
        <w:snapToGrid w:val="0"/>
        <w:jc w:val="left"/>
        <w:rPr>
          <w:rFonts w:ascii="新宋体" w:hAnsi="新宋体" w:eastAsia="新宋体" w:cs="宋体"/>
          <w:kern w:val="0"/>
          <w:sz w:val="24"/>
        </w:rPr>
      </w:pPr>
      <w:r>
        <w:rPr>
          <w:rFonts w:hint="eastAsia" w:ascii="新宋体" w:hAnsi="新宋体" w:eastAsia="新宋体" w:cs="宋体"/>
          <w:kern w:val="0"/>
          <w:sz w:val="24"/>
        </w:rPr>
        <w:t>18.1本公司对每类物资确定一至三家中标单位，经评委评定中标单位后，以电话、电子邮件方式通知投标单位或投标人。</w:t>
      </w:r>
    </w:p>
    <w:p>
      <w:pPr>
        <w:widowControl/>
        <w:snapToGrid w:val="0"/>
        <w:jc w:val="left"/>
        <w:rPr>
          <w:rFonts w:ascii="新宋体" w:hAnsi="新宋体" w:eastAsia="新宋体" w:cs="宋体"/>
          <w:kern w:val="0"/>
          <w:sz w:val="24"/>
        </w:rPr>
      </w:pPr>
      <w:r>
        <w:rPr>
          <w:rFonts w:hint="eastAsia" w:ascii="新宋体" w:hAnsi="新宋体" w:eastAsia="新宋体" w:cs="宋体"/>
          <w:kern w:val="0"/>
          <w:sz w:val="24"/>
        </w:rPr>
        <w:t>18.2中标单位须按本公司通知的时间至本公司签订买卖合同，逾期将视为放弃。招标文件、投标文件、投标方对投标文件的澄清文件等均为合同的附件。</w:t>
      </w:r>
    </w:p>
    <w:p>
      <w:pPr>
        <w:widowControl/>
        <w:snapToGrid w:val="0"/>
        <w:jc w:val="left"/>
        <w:rPr>
          <w:rFonts w:ascii="新宋体" w:hAnsi="新宋体" w:eastAsia="新宋体" w:cs="宋体"/>
          <w:kern w:val="0"/>
          <w:sz w:val="24"/>
        </w:rPr>
      </w:pPr>
      <w:r>
        <w:rPr>
          <w:rFonts w:hint="eastAsia" w:ascii="新宋体" w:hAnsi="新宋体" w:eastAsia="新宋体" w:cs="宋体"/>
          <w:kern w:val="0"/>
          <w:sz w:val="24"/>
        </w:rPr>
        <w:t>18.3本次招标中标有效期不超过壹年，期满后根据市场变化再行投标。</w:t>
      </w:r>
    </w:p>
    <w:p>
      <w:pPr>
        <w:widowControl/>
        <w:snapToGrid w:val="0"/>
        <w:jc w:val="left"/>
        <w:rPr>
          <w:rFonts w:ascii="新宋体" w:hAnsi="新宋体" w:eastAsia="新宋体" w:cs="宋体"/>
          <w:kern w:val="0"/>
          <w:sz w:val="24"/>
        </w:rPr>
      </w:pPr>
    </w:p>
    <w:p>
      <w:pPr>
        <w:outlineLvl w:val="1"/>
        <w:rPr>
          <w:rFonts w:ascii="黑体" w:hAnsi="宋体" w:eastAsia="黑体"/>
          <w:b/>
          <w:sz w:val="28"/>
        </w:rPr>
      </w:pPr>
      <w:r>
        <w:rPr>
          <w:rFonts w:hint="eastAsia" w:ascii="黑体" w:hAnsi="宋体" w:eastAsia="黑体"/>
          <w:b/>
          <w:sz w:val="28"/>
        </w:rPr>
        <w:t>五、招标答疑和纪律</w:t>
      </w:r>
    </w:p>
    <w:p>
      <w:pPr>
        <w:ind w:firstLine="482" w:firstLineChars="200"/>
        <w:outlineLvl w:val="2"/>
        <w:rPr>
          <w:rFonts w:ascii="黑体" w:eastAsia="黑体"/>
          <w:b/>
          <w:sz w:val="24"/>
        </w:rPr>
      </w:pPr>
      <w:r>
        <w:rPr>
          <w:rFonts w:hint="eastAsia" w:ascii="黑体" w:eastAsia="黑体"/>
          <w:b/>
          <w:sz w:val="24"/>
        </w:rPr>
        <w:t>19.招标纪律</w:t>
      </w:r>
    </w:p>
    <w:p>
      <w:pPr>
        <w:widowControl/>
        <w:snapToGrid w:val="0"/>
        <w:jc w:val="left"/>
        <w:rPr>
          <w:rFonts w:ascii="新宋体" w:hAnsi="新宋体" w:eastAsia="新宋体" w:cs="宋体"/>
          <w:kern w:val="0"/>
          <w:sz w:val="24"/>
        </w:rPr>
      </w:pPr>
      <w:r>
        <w:rPr>
          <w:rFonts w:hint="eastAsia" w:ascii="新宋体" w:hAnsi="新宋体" w:eastAsia="新宋体" w:cs="宋体"/>
          <w:kern w:val="0"/>
          <w:sz w:val="24"/>
        </w:rPr>
        <w:t>19.1无锡健特药业有限公司设纪律督查组对招投标过程进行监督，投标人对招标过程中有任何问题需要举报的，可向纪律督查组邮件举报。</w:t>
      </w:r>
    </w:p>
    <w:p>
      <w:pPr>
        <w:widowControl/>
        <w:snapToGrid w:val="0"/>
        <w:jc w:val="left"/>
        <w:rPr>
          <w:rFonts w:hint="eastAsia" w:ascii="新宋体" w:hAnsi="新宋体" w:eastAsia="新宋体" w:cs="宋体"/>
          <w:kern w:val="0"/>
          <w:sz w:val="24"/>
        </w:rPr>
      </w:pPr>
      <w:r>
        <w:rPr>
          <w:rFonts w:hint="eastAsia" w:ascii="新宋体" w:hAnsi="新宋体" w:eastAsia="新宋体" w:cs="宋体"/>
          <w:kern w:val="0"/>
          <w:sz w:val="24"/>
        </w:rPr>
        <w:t>邮箱地址：huangjw@newgiant.com.cn</w:t>
      </w:r>
    </w:p>
    <w:p>
      <w:pPr>
        <w:ind w:firstLine="482" w:firstLineChars="200"/>
        <w:outlineLvl w:val="2"/>
        <w:rPr>
          <w:rFonts w:ascii="黑体" w:eastAsia="黑体"/>
          <w:b/>
          <w:sz w:val="24"/>
        </w:rPr>
      </w:pPr>
      <w:r>
        <w:rPr>
          <w:rFonts w:hint="eastAsia" w:ascii="黑体" w:eastAsia="黑体"/>
          <w:b/>
          <w:sz w:val="24"/>
        </w:rPr>
        <w:t>20.招标答疑</w:t>
      </w:r>
    </w:p>
    <w:p>
      <w:pPr>
        <w:widowControl/>
        <w:snapToGrid w:val="0"/>
        <w:jc w:val="left"/>
        <w:rPr>
          <w:rFonts w:ascii="新宋体" w:hAnsi="新宋体" w:eastAsia="新宋体" w:cs="宋体"/>
          <w:kern w:val="0"/>
          <w:sz w:val="24"/>
        </w:rPr>
      </w:pPr>
      <w:r>
        <w:rPr>
          <w:rFonts w:hint="eastAsia" w:ascii="新宋体" w:hAnsi="新宋体" w:eastAsia="新宋体" w:cs="宋体"/>
          <w:kern w:val="0"/>
          <w:sz w:val="24"/>
        </w:rPr>
        <w:t>20.1招标过程中，投标人有任何疑问，可向招标人指定代表询问</w:t>
      </w:r>
    </w:p>
    <w:p>
      <w:pPr>
        <w:widowControl/>
        <w:snapToGrid w:val="0"/>
        <w:ind w:firstLine="480" w:firstLineChars="200"/>
        <w:jc w:val="left"/>
        <w:rPr>
          <w:rFonts w:ascii="新宋体" w:hAnsi="新宋体" w:eastAsia="新宋体" w:cs="宋体"/>
          <w:kern w:val="0"/>
          <w:sz w:val="24"/>
        </w:rPr>
      </w:pPr>
      <w:r>
        <w:rPr>
          <w:rFonts w:hint="eastAsia" w:ascii="新宋体" w:hAnsi="新宋体" w:eastAsia="新宋体" w:cs="宋体"/>
          <w:kern w:val="0"/>
          <w:sz w:val="24"/>
        </w:rPr>
        <w:t>毛菊芬，邮箱地址：maojf@newgiant.com.cn</w:t>
      </w:r>
    </w:p>
    <w:p>
      <w:pPr>
        <w:widowControl/>
        <w:snapToGrid w:val="0"/>
        <w:ind w:firstLine="480" w:firstLineChars="200"/>
        <w:jc w:val="left"/>
        <w:rPr>
          <w:rFonts w:ascii="新宋体" w:hAnsi="新宋体" w:eastAsia="新宋体" w:cs="宋体"/>
          <w:kern w:val="0"/>
          <w:sz w:val="24"/>
        </w:rPr>
      </w:pPr>
      <w:r>
        <w:rPr>
          <w:rFonts w:hint="eastAsia" w:ascii="新宋体" w:hAnsi="新宋体" w:eastAsia="新宋体" w:cs="宋体"/>
          <w:kern w:val="0"/>
          <w:sz w:val="24"/>
        </w:rPr>
        <w:t>段广权，邮箱地址：</w:t>
      </w:r>
      <w:r>
        <w:rPr>
          <w:rFonts w:ascii="新宋体" w:hAnsi="新宋体" w:eastAsia="新宋体" w:cs="宋体"/>
          <w:kern w:val="0"/>
          <w:sz w:val="24"/>
        </w:rPr>
        <w:t>duangq@newgiant</w:t>
      </w:r>
      <w:r>
        <w:rPr>
          <w:rFonts w:hint="eastAsia" w:ascii="新宋体" w:hAnsi="新宋体" w:eastAsia="新宋体" w:cs="宋体"/>
          <w:kern w:val="0"/>
          <w:sz w:val="24"/>
        </w:rPr>
        <w:t>.com.cn</w:t>
      </w:r>
    </w:p>
    <w:p>
      <w:pPr>
        <w:widowControl/>
        <w:snapToGrid w:val="0"/>
        <w:jc w:val="left"/>
        <w:rPr>
          <w:rFonts w:ascii="新宋体" w:hAnsi="新宋体" w:eastAsia="新宋体" w:cs="宋体"/>
          <w:kern w:val="0"/>
          <w:sz w:val="24"/>
        </w:rPr>
      </w:pPr>
      <w:r>
        <w:rPr>
          <w:rFonts w:hint="eastAsia" w:ascii="新宋体" w:hAnsi="新宋体" w:eastAsia="新宋体" w:cs="宋体"/>
          <w:kern w:val="0"/>
          <w:sz w:val="24"/>
        </w:rPr>
        <w:t>20.2所有疑问应以电子邮件方式提出，招标人将以电子邮件回复。</w:t>
      </w:r>
    </w:p>
    <w:p>
      <w:pPr>
        <w:autoSpaceDE w:val="0"/>
        <w:autoSpaceDN w:val="0"/>
        <w:adjustRightInd w:val="0"/>
        <w:snapToGrid w:val="0"/>
        <w:spacing w:line="360" w:lineRule="auto"/>
        <w:jc w:val="center"/>
        <w:rPr>
          <w:rFonts w:ascii="黑体" w:eastAsia="黑体"/>
          <w:b/>
          <w:sz w:val="30"/>
        </w:rPr>
      </w:pPr>
      <w:r>
        <w:rPr>
          <w:rFonts w:ascii="新宋体" w:hAnsi="新宋体" w:eastAsia="新宋体" w:cs="宋体"/>
          <w:kern w:val="0"/>
          <w:sz w:val="24"/>
        </w:rPr>
        <w:br w:type="page"/>
      </w:r>
      <w:r>
        <w:rPr>
          <w:rFonts w:hint="eastAsia" w:ascii="黑体" w:eastAsia="黑体"/>
          <w:b/>
          <w:sz w:val="30"/>
        </w:rPr>
        <w:t>第二章 合同主要条款</w:t>
      </w:r>
    </w:p>
    <w:p>
      <w:pPr>
        <w:autoSpaceDE w:val="0"/>
        <w:autoSpaceDN w:val="0"/>
        <w:adjustRightInd w:val="0"/>
        <w:snapToGrid w:val="0"/>
        <w:spacing w:line="400" w:lineRule="exact"/>
        <w:ind w:firstLine="480" w:firstLineChars="200"/>
        <w:jc w:val="left"/>
        <w:rPr>
          <w:rFonts w:ascii="新宋体" w:hAnsi="新宋体" w:eastAsia="新宋体" w:cs="宋体"/>
          <w:kern w:val="0"/>
          <w:sz w:val="24"/>
        </w:rPr>
      </w:pPr>
      <w:r>
        <w:rPr>
          <w:rFonts w:hint="eastAsia" w:ascii="新宋体" w:hAnsi="新宋体" w:eastAsia="新宋体" w:cs="宋体"/>
          <w:kern w:val="0"/>
          <w:sz w:val="24"/>
        </w:rPr>
        <w:t>根据《中华人民共和国合同法》、《中华人民共和国产品质量法》等相关法律法规及政策的规定，甲、乙双方经过友好协商，本着诚实守信、平等互利的原则，就甲方向乙方购买****（代指标的物）一事，达成如下合同条款：</w:t>
      </w:r>
    </w:p>
    <w:p>
      <w:pPr>
        <w:autoSpaceDE w:val="0"/>
        <w:autoSpaceDN w:val="0"/>
        <w:adjustRightInd w:val="0"/>
        <w:snapToGrid w:val="0"/>
        <w:spacing w:line="400" w:lineRule="exact"/>
        <w:jc w:val="left"/>
        <w:rPr>
          <w:rFonts w:ascii="新宋体" w:hAnsi="新宋体" w:eastAsia="新宋体" w:cs="宋体"/>
          <w:kern w:val="0"/>
          <w:sz w:val="24"/>
        </w:rPr>
      </w:pPr>
      <w:r>
        <w:rPr>
          <w:rFonts w:hint="eastAsia" w:ascii="新宋体" w:hAnsi="新宋体" w:eastAsia="新宋体" w:cs="宋体"/>
          <w:kern w:val="0"/>
          <w:sz w:val="24"/>
        </w:rPr>
        <w:t>1.</w:t>
      </w:r>
      <w:r>
        <w:rPr>
          <w:rFonts w:hint="eastAsia" w:ascii="新宋体" w:hAnsi="新宋体" w:eastAsia="新宋体" w:cs="宋体"/>
          <w:kern w:val="0"/>
          <w:sz w:val="24"/>
        </w:rPr>
        <w:tab/>
      </w:r>
      <w:r>
        <w:rPr>
          <w:rFonts w:hint="eastAsia" w:ascii="新宋体" w:hAnsi="新宋体" w:eastAsia="新宋体" w:cs="宋体"/>
          <w:kern w:val="0"/>
          <w:sz w:val="24"/>
        </w:rPr>
        <w:t>产品具体要求及金额：</w:t>
      </w:r>
    </w:p>
    <w:p>
      <w:pPr>
        <w:autoSpaceDE w:val="0"/>
        <w:autoSpaceDN w:val="0"/>
        <w:adjustRightInd w:val="0"/>
        <w:snapToGrid w:val="0"/>
        <w:spacing w:line="400" w:lineRule="exact"/>
        <w:jc w:val="left"/>
        <w:rPr>
          <w:rFonts w:ascii="新宋体" w:hAnsi="新宋体" w:eastAsia="新宋体" w:cs="宋体"/>
          <w:kern w:val="0"/>
          <w:sz w:val="24"/>
        </w:rPr>
      </w:pPr>
      <w:r>
        <w:rPr>
          <w:rFonts w:hint="eastAsia" w:ascii="新宋体" w:hAnsi="新宋体" w:eastAsia="新宋体" w:cs="宋体"/>
          <w:kern w:val="0"/>
          <w:sz w:val="24"/>
        </w:rPr>
        <w:t>1.1</w:t>
      </w:r>
      <w:r>
        <w:rPr>
          <w:rFonts w:hint="eastAsia" w:ascii="新宋体" w:hAnsi="新宋体" w:eastAsia="新宋体" w:cs="宋体"/>
          <w:kern w:val="0"/>
          <w:sz w:val="24"/>
        </w:rPr>
        <w:tab/>
      </w:r>
      <w:r>
        <w:rPr>
          <w:rFonts w:hint="eastAsia" w:ascii="新宋体" w:hAnsi="新宋体" w:eastAsia="新宋体" w:cs="宋体"/>
          <w:kern w:val="0"/>
          <w:sz w:val="24"/>
        </w:rPr>
        <w:t>甲方必须确认产品清单，明确产品品名、规格型号、材质、单价、质量标准、验收方式等信息</w:t>
      </w:r>
    </w:p>
    <w:p>
      <w:pPr>
        <w:autoSpaceDE w:val="0"/>
        <w:autoSpaceDN w:val="0"/>
        <w:adjustRightInd w:val="0"/>
        <w:snapToGrid w:val="0"/>
        <w:spacing w:line="400" w:lineRule="exact"/>
        <w:jc w:val="left"/>
        <w:rPr>
          <w:rFonts w:ascii="新宋体" w:hAnsi="新宋体" w:eastAsia="新宋体" w:cs="宋体"/>
          <w:kern w:val="0"/>
          <w:sz w:val="24"/>
        </w:rPr>
      </w:pPr>
      <w:r>
        <w:rPr>
          <w:rFonts w:hint="eastAsia" w:ascii="新宋体" w:hAnsi="新宋体" w:eastAsia="新宋体" w:cs="宋体"/>
          <w:kern w:val="0"/>
          <w:sz w:val="24"/>
        </w:rPr>
        <w:t>1.2 其他要求：在每个单位包装外面都须注明以下事项：</w:t>
      </w:r>
    </w:p>
    <w:p>
      <w:pPr>
        <w:autoSpaceDE w:val="0"/>
        <w:autoSpaceDN w:val="0"/>
        <w:adjustRightInd w:val="0"/>
        <w:snapToGrid w:val="0"/>
        <w:spacing w:line="400" w:lineRule="exact"/>
        <w:jc w:val="left"/>
        <w:rPr>
          <w:rFonts w:ascii="新宋体" w:hAnsi="新宋体" w:eastAsia="新宋体" w:cs="宋体"/>
          <w:kern w:val="0"/>
          <w:sz w:val="24"/>
        </w:rPr>
      </w:pPr>
      <w:r>
        <w:rPr>
          <w:rFonts w:hint="eastAsia" w:ascii="新宋体" w:hAnsi="新宋体" w:eastAsia="新宋体" w:cs="宋体"/>
          <w:kern w:val="0"/>
          <w:sz w:val="24"/>
        </w:rPr>
        <w:t xml:space="preserve">    收货单位：无锡健特药业有限公司</w:t>
      </w:r>
    </w:p>
    <w:p>
      <w:pPr>
        <w:autoSpaceDE w:val="0"/>
        <w:autoSpaceDN w:val="0"/>
        <w:adjustRightInd w:val="0"/>
        <w:snapToGrid w:val="0"/>
        <w:spacing w:line="400" w:lineRule="exact"/>
        <w:jc w:val="left"/>
        <w:rPr>
          <w:rFonts w:ascii="新宋体" w:hAnsi="新宋体" w:eastAsia="新宋体" w:cs="宋体"/>
          <w:kern w:val="0"/>
          <w:sz w:val="24"/>
        </w:rPr>
      </w:pPr>
      <w:r>
        <w:rPr>
          <w:rFonts w:hint="eastAsia" w:ascii="新宋体" w:hAnsi="新宋体" w:eastAsia="新宋体" w:cs="宋体"/>
          <w:kern w:val="0"/>
          <w:sz w:val="24"/>
        </w:rPr>
        <w:t xml:space="preserve">    品名：按表内“品名”一栏填</w:t>
      </w:r>
    </w:p>
    <w:p>
      <w:pPr>
        <w:autoSpaceDE w:val="0"/>
        <w:autoSpaceDN w:val="0"/>
        <w:adjustRightInd w:val="0"/>
        <w:snapToGrid w:val="0"/>
        <w:spacing w:line="400" w:lineRule="exact"/>
        <w:jc w:val="left"/>
        <w:rPr>
          <w:rFonts w:ascii="新宋体" w:hAnsi="新宋体" w:eastAsia="新宋体" w:cs="宋体"/>
          <w:kern w:val="0"/>
          <w:sz w:val="24"/>
        </w:rPr>
      </w:pPr>
      <w:r>
        <w:rPr>
          <w:rFonts w:hint="eastAsia" w:ascii="新宋体" w:hAnsi="新宋体" w:eastAsia="新宋体" w:cs="宋体"/>
          <w:kern w:val="0"/>
          <w:sz w:val="24"/>
        </w:rPr>
        <w:t xml:space="preserve">    材料数量规格：按表内信息填</w:t>
      </w:r>
    </w:p>
    <w:p>
      <w:pPr>
        <w:autoSpaceDE w:val="0"/>
        <w:autoSpaceDN w:val="0"/>
        <w:adjustRightInd w:val="0"/>
        <w:snapToGrid w:val="0"/>
        <w:spacing w:line="400" w:lineRule="exact"/>
        <w:jc w:val="left"/>
        <w:rPr>
          <w:rFonts w:ascii="新宋体" w:hAnsi="新宋体" w:eastAsia="新宋体" w:cs="宋体"/>
          <w:kern w:val="0"/>
          <w:sz w:val="24"/>
        </w:rPr>
      </w:pPr>
      <w:r>
        <w:rPr>
          <w:rFonts w:hint="eastAsia" w:ascii="新宋体" w:hAnsi="新宋体" w:eastAsia="新宋体" w:cs="宋体"/>
          <w:kern w:val="0"/>
          <w:sz w:val="24"/>
        </w:rPr>
        <w:t xml:space="preserve">    生产厂址：</w:t>
      </w:r>
    </w:p>
    <w:p>
      <w:pPr>
        <w:autoSpaceDE w:val="0"/>
        <w:autoSpaceDN w:val="0"/>
        <w:adjustRightInd w:val="0"/>
        <w:snapToGrid w:val="0"/>
        <w:spacing w:line="400" w:lineRule="exact"/>
        <w:jc w:val="left"/>
        <w:rPr>
          <w:rFonts w:ascii="新宋体" w:hAnsi="新宋体" w:eastAsia="新宋体" w:cs="宋体"/>
          <w:kern w:val="0"/>
          <w:sz w:val="24"/>
        </w:rPr>
      </w:pPr>
      <w:r>
        <w:rPr>
          <w:rFonts w:hint="eastAsia" w:ascii="新宋体" w:hAnsi="新宋体" w:eastAsia="新宋体" w:cs="宋体"/>
          <w:kern w:val="0"/>
          <w:sz w:val="24"/>
        </w:rPr>
        <w:t xml:space="preserve">    注意事项：</w:t>
      </w:r>
    </w:p>
    <w:p>
      <w:pPr>
        <w:autoSpaceDE w:val="0"/>
        <w:autoSpaceDN w:val="0"/>
        <w:adjustRightInd w:val="0"/>
        <w:snapToGrid w:val="0"/>
        <w:spacing w:line="400" w:lineRule="exact"/>
        <w:jc w:val="left"/>
        <w:rPr>
          <w:rFonts w:ascii="新宋体" w:hAnsi="新宋体" w:eastAsia="新宋体" w:cs="宋体"/>
          <w:kern w:val="0"/>
          <w:sz w:val="24"/>
        </w:rPr>
      </w:pPr>
      <w:r>
        <w:rPr>
          <w:rFonts w:hint="eastAsia" w:ascii="新宋体" w:hAnsi="新宋体" w:eastAsia="新宋体" w:cs="宋体"/>
          <w:kern w:val="0"/>
          <w:sz w:val="24"/>
        </w:rPr>
        <w:t>2.</w:t>
      </w:r>
      <w:r>
        <w:rPr>
          <w:rFonts w:hint="eastAsia" w:ascii="新宋体" w:hAnsi="新宋体" w:eastAsia="新宋体" w:cs="宋体"/>
          <w:kern w:val="0"/>
          <w:sz w:val="24"/>
        </w:rPr>
        <w:tab/>
      </w:r>
      <w:r>
        <w:rPr>
          <w:rFonts w:hint="eastAsia" w:ascii="新宋体" w:hAnsi="新宋体" w:eastAsia="新宋体" w:cs="宋体"/>
          <w:kern w:val="0"/>
          <w:sz w:val="24"/>
        </w:rPr>
        <w:t>交货具体要求：</w:t>
      </w:r>
    </w:p>
    <w:p>
      <w:pPr>
        <w:autoSpaceDE w:val="0"/>
        <w:autoSpaceDN w:val="0"/>
        <w:adjustRightInd w:val="0"/>
        <w:snapToGrid w:val="0"/>
        <w:spacing w:line="400" w:lineRule="exact"/>
        <w:jc w:val="left"/>
        <w:rPr>
          <w:rFonts w:ascii="新宋体" w:hAnsi="新宋体" w:eastAsia="新宋体" w:cs="宋体"/>
          <w:kern w:val="0"/>
          <w:sz w:val="24"/>
        </w:rPr>
      </w:pPr>
      <w:r>
        <w:rPr>
          <w:rFonts w:hint="eastAsia" w:ascii="新宋体" w:hAnsi="新宋体" w:eastAsia="新宋体" w:cs="宋体"/>
          <w:kern w:val="0"/>
          <w:sz w:val="24"/>
        </w:rPr>
        <w:t>2.1</w:t>
      </w:r>
      <w:r>
        <w:rPr>
          <w:rFonts w:hint="eastAsia" w:ascii="新宋体" w:hAnsi="新宋体" w:eastAsia="新宋体" w:cs="宋体"/>
          <w:kern w:val="0"/>
          <w:sz w:val="24"/>
        </w:rPr>
        <w:tab/>
      </w:r>
      <w:r>
        <w:rPr>
          <w:rFonts w:hint="eastAsia" w:ascii="新宋体" w:hAnsi="新宋体" w:eastAsia="新宋体" w:cs="宋体"/>
          <w:kern w:val="0"/>
          <w:sz w:val="24"/>
        </w:rPr>
        <w:t>交货方式、时间、地点：乙方承诺在甲方下达的订单上所载的供货截止日期内送至甲方指定仓库：</w:t>
      </w:r>
    </w:p>
    <w:p>
      <w:pPr>
        <w:autoSpaceDE w:val="0"/>
        <w:autoSpaceDN w:val="0"/>
        <w:adjustRightInd w:val="0"/>
        <w:snapToGrid w:val="0"/>
        <w:spacing w:line="400" w:lineRule="exact"/>
        <w:jc w:val="left"/>
        <w:rPr>
          <w:rFonts w:ascii="新宋体" w:hAnsi="新宋体" w:eastAsia="新宋体" w:cs="宋体"/>
          <w:kern w:val="0"/>
          <w:sz w:val="24"/>
        </w:rPr>
      </w:pPr>
      <w:r>
        <w:rPr>
          <w:rFonts w:hint="eastAsia" w:ascii="新宋体" w:hAnsi="新宋体" w:eastAsia="新宋体" w:cs="宋体"/>
          <w:kern w:val="0"/>
          <w:sz w:val="24"/>
        </w:rPr>
        <w:t>2.2 甲方可适当修订订单，但需在交货日期前【7】日提出，双方可以根据实际情况协商解决。</w:t>
      </w:r>
    </w:p>
    <w:p>
      <w:pPr>
        <w:autoSpaceDE w:val="0"/>
        <w:autoSpaceDN w:val="0"/>
        <w:adjustRightInd w:val="0"/>
        <w:snapToGrid w:val="0"/>
        <w:spacing w:line="400" w:lineRule="exact"/>
        <w:jc w:val="left"/>
        <w:rPr>
          <w:rFonts w:ascii="新宋体" w:hAnsi="新宋体" w:eastAsia="新宋体" w:cs="宋体"/>
          <w:kern w:val="0"/>
          <w:sz w:val="24"/>
        </w:rPr>
      </w:pPr>
      <w:r>
        <w:rPr>
          <w:rFonts w:hint="eastAsia" w:ascii="新宋体" w:hAnsi="新宋体" w:eastAsia="新宋体" w:cs="宋体"/>
          <w:kern w:val="0"/>
          <w:sz w:val="24"/>
        </w:rPr>
        <w:t>2.3 乙方违约超出订单指定的供货日期未及时足额供货的，该订单失效。乙方在指定的供货日期后延迟供货的，甲方有权拒收。</w:t>
      </w:r>
    </w:p>
    <w:p>
      <w:pPr>
        <w:autoSpaceDE w:val="0"/>
        <w:autoSpaceDN w:val="0"/>
        <w:adjustRightInd w:val="0"/>
        <w:snapToGrid w:val="0"/>
        <w:spacing w:line="400" w:lineRule="exact"/>
        <w:jc w:val="left"/>
        <w:rPr>
          <w:rFonts w:ascii="新宋体" w:hAnsi="新宋体" w:eastAsia="新宋体" w:cs="宋体"/>
          <w:kern w:val="0"/>
          <w:sz w:val="24"/>
        </w:rPr>
      </w:pPr>
      <w:r>
        <w:rPr>
          <w:rFonts w:hint="eastAsia" w:ascii="新宋体" w:hAnsi="新宋体" w:eastAsia="新宋体" w:cs="宋体"/>
          <w:kern w:val="0"/>
          <w:sz w:val="24"/>
        </w:rPr>
        <w:t>3.</w:t>
      </w:r>
      <w:r>
        <w:rPr>
          <w:rFonts w:hint="eastAsia" w:ascii="新宋体" w:hAnsi="新宋体" w:eastAsia="新宋体" w:cs="宋体"/>
          <w:kern w:val="0"/>
          <w:sz w:val="24"/>
        </w:rPr>
        <w:tab/>
      </w:r>
      <w:r>
        <w:rPr>
          <w:rFonts w:hint="eastAsia" w:ascii="新宋体" w:hAnsi="新宋体" w:eastAsia="新宋体" w:cs="宋体"/>
          <w:kern w:val="0"/>
          <w:sz w:val="24"/>
        </w:rPr>
        <w:t>封样、验收：</w:t>
      </w:r>
    </w:p>
    <w:p>
      <w:pPr>
        <w:autoSpaceDE w:val="0"/>
        <w:autoSpaceDN w:val="0"/>
        <w:adjustRightInd w:val="0"/>
        <w:snapToGrid w:val="0"/>
        <w:spacing w:line="400" w:lineRule="exact"/>
        <w:jc w:val="left"/>
        <w:rPr>
          <w:rFonts w:ascii="新宋体" w:hAnsi="新宋体" w:eastAsia="新宋体" w:cs="宋体"/>
          <w:kern w:val="0"/>
          <w:sz w:val="24"/>
        </w:rPr>
      </w:pPr>
      <w:r>
        <w:rPr>
          <w:rFonts w:hint="eastAsia" w:ascii="新宋体" w:hAnsi="新宋体" w:eastAsia="新宋体" w:cs="宋体"/>
          <w:kern w:val="0"/>
          <w:sz w:val="24"/>
        </w:rPr>
        <w:t xml:space="preserve">3.1 </w:t>
      </w:r>
      <w:r>
        <w:rPr>
          <w:rFonts w:hint="eastAsia" w:ascii="新宋体" w:hAnsi="新宋体" w:eastAsia="新宋体"/>
          <w:sz w:val="24"/>
        </w:rPr>
        <w:t>产品所使用的每种包材须提供A4大小样品，作为合同附件。</w:t>
      </w:r>
    </w:p>
    <w:p>
      <w:pPr>
        <w:autoSpaceDE w:val="0"/>
        <w:autoSpaceDN w:val="0"/>
        <w:adjustRightInd w:val="0"/>
        <w:snapToGrid w:val="0"/>
        <w:spacing w:line="400" w:lineRule="exact"/>
        <w:jc w:val="left"/>
        <w:rPr>
          <w:rFonts w:ascii="新宋体" w:hAnsi="新宋体" w:eastAsia="新宋体" w:cs="宋体"/>
          <w:kern w:val="0"/>
          <w:sz w:val="24"/>
        </w:rPr>
      </w:pPr>
      <w:r>
        <w:rPr>
          <w:rFonts w:hint="eastAsia" w:ascii="新宋体" w:hAnsi="新宋体" w:eastAsia="新宋体" w:cs="宋体"/>
          <w:kern w:val="0"/>
          <w:sz w:val="24"/>
        </w:rPr>
        <w:t>3.2 本合同签定之日起【10】日内乙方按甲方要求制作样品并交甲方书面确认后，样品封样由甲方保存。所有打样的产品甲方保留5份。</w:t>
      </w:r>
    </w:p>
    <w:p>
      <w:pPr>
        <w:autoSpaceDE w:val="0"/>
        <w:autoSpaceDN w:val="0"/>
        <w:adjustRightInd w:val="0"/>
        <w:snapToGrid w:val="0"/>
        <w:spacing w:line="400" w:lineRule="exact"/>
        <w:jc w:val="left"/>
        <w:rPr>
          <w:rFonts w:ascii="新宋体" w:hAnsi="新宋体" w:eastAsia="新宋体" w:cs="宋体"/>
          <w:kern w:val="0"/>
          <w:sz w:val="24"/>
        </w:rPr>
      </w:pPr>
      <w:r>
        <w:rPr>
          <w:rFonts w:hint="eastAsia" w:ascii="新宋体" w:hAnsi="新宋体" w:eastAsia="新宋体" w:cs="宋体"/>
          <w:kern w:val="0"/>
          <w:sz w:val="24"/>
        </w:rPr>
        <w:t>3.3 交货时，甲方根据封样样品的技术标准和品质于接收货物之日起三日内对产品进行验收。双方约定，合同履行地为无锡市。</w:t>
      </w:r>
    </w:p>
    <w:p>
      <w:pPr>
        <w:autoSpaceDE w:val="0"/>
        <w:autoSpaceDN w:val="0"/>
        <w:adjustRightInd w:val="0"/>
        <w:snapToGrid w:val="0"/>
        <w:spacing w:line="400" w:lineRule="exact"/>
        <w:jc w:val="left"/>
        <w:rPr>
          <w:rFonts w:ascii="新宋体" w:hAnsi="新宋体" w:eastAsia="新宋体" w:cs="宋体"/>
          <w:kern w:val="0"/>
          <w:sz w:val="24"/>
        </w:rPr>
      </w:pPr>
      <w:r>
        <w:rPr>
          <w:rFonts w:hint="eastAsia" w:ascii="新宋体" w:hAnsi="新宋体" w:eastAsia="新宋体" w:cs="宋体"/>
          <w:kern w:val="0"/>
          <w:sz w:val="24"/>
        </w:rPr>
        <w:t>3.4</w:t>
      </w:r>
      <w:r>
        <w:rPr>
          <w:rFonts w:hint="eastAsia" w:ascii="新宋体" w:hAnsi="新宋体" w:eastAsia="新宋体" w:cs="宋体"/>
          <w:kern w:val="0"/>
          <w:sz w:val="24"/>
        </w:rPr>
        <w:tab/>
      </w:r>
      <w:r>
        <w:rPr>
          <w:rFonts w:hint="eastAsia" w:ascii="新宋体" w:hAnsi="新宋体" w:eastAsia="新宋体" w:cs="宋体"/>
          <w:kern w:val="0"/>
          <w:sz w:val="24"/>
        </w:rPr>
        <w:t xml:space="preserve"> 没有封样的，按照本合同第5条质量标准验收。</w:t>
      </w:r>
    </w:p>
    <w:p>
      <w:pPr>
        <w:autoSpaceDE w:val="0"/>
        <w:autoSpaceDN w:val="0"/>
        <w:adjustRightInd w:val="0"/>
        <w:snapToGrid w:val="0"/>
        <w:spacing w:line="400" w:lineRule="exact"/>
        <w:jc w:val="left"/>
        <w:rPr>
          <w:rFonts w:ascii="新宋体" w:hAnsi="新宋体" w:eastAsia="新宋体" w:cs="宋体"/>
          <w:kern w:val="0"/>
          <w:sz w:val="24"/>
        </w:rPr>
      </w:pPr>
      <w:r>
        <w:rPr>
          <w:rFonts w:hint="eastAsia" w:ascii="新宋体" w:hAnsi="新宋体" w:eastAsia="新宋体" w:cs="宋体"/>
          <w:kern w:val="0"/>
          <w:sz w:val="24"/>
        </w:rPr>
        <w:t>3.5</w:t>
      </w:r>
      <w:r>
        <w:rPr>
          <w:rFonts w:hint="eastAsia" w:ascii="新宋体" w:hAnsi="新宋体" w:eastAsia="新宋体" w:cs="宋体"/>
          <w:kern w:val="0"/>
          <w:sz w:val="24"/>
        </w:rPr>
        <w:tab/>
      </w:r>
      <w:r>
        <w:rPr>
          <w:rFonts w:hint="eastAsia" w:ascii="新宋体" w:hAnsi="新宋体" w:eastAsia="新宋体" w:cs="宋体"/>
          <w:kern w:val="0"/>
          <w:sz w:val="24"/>
        </w:rPr>
        <w:t xml:space="preserve"> 本条所述之验收只是对产品的外观和数量的检验，此检验结果仅作为数量及可见外观质量验收依据，并不免除乙方对全部产品应承担的质量等责任。若甲方在使用产品过程中发现产品存在质量问题，甲方仍有权向乙方索赔。 甲方对验收不合格的产品有权拒绝接收，并要求乙方赔偿甲方全部损失。</w:t>
      </w:r>
    </w:p>
    <w:p>
      <w:pPr>
        <w:autoSpaceDE w:val="0"/>
        <w:autoSpaceDN w:val="0"/>
        <w:adjustRightInd w:val="0"/>
        <w:snapToGrid w:val="0"/>
        <w:spacing w:line="400" w:lineRule="exact"/>
        <w:jc w:val="left"/>
        <w:rPr>
          <w:rFonts w:ascii="新宋体" w:hAnsi="新宋体" w:eastAsia="新宋体" w:cs="宋体"/>
          <w:kern w:val="0"/>
          <w:sz w:val="24"/>
        </w:rPr>
      </w:pPr>
      <w:r>
        <w:rPr>
          <w:rFonts w:hint="eastAsia" w:ascii="新宋体" w:hAnsi="新宋体" w:eastAsia="新宋体" w:cs="宋体"/>
          <w:kern w:val="0"/>
          <w:sz w:val="24"/>
        </w:rPr>
        <w:t>3.6</w:t>
      </w:r>
      <w:r>
        <w:rPr>
          <w:rFonts w:hint="eastAsia" w:ascii="新宋体" w:hAnsi="新宋体" w:eastAsia="新宋体" w:cs="宋体"/>
          <w:kern w:val="0"/>
          <w:sz w:val="24"/>
        </w:rPr>
        <w:tab/>
      </w:r>
      <w:r>
        <w:rPr>
          <w:rFonts w:hint="eastAsia" w:ascii="新宋体" w:hAnsi="新宋体" w:eastAsia="新宋体" w:cs="宋体"/>
          <w:kern w:val="0"/>
          <w:sz w:val="24"/>
        </w:rPr>
        <w:t xml:space="preserve"> 乙方送货时必须提供本合同复印件、订单及送货单（送货单内容包括货物名称、规格、数量，并注明合同或订单编号）给甲方物料部。</w:t>
      </w:r>
    </w:p>
    <w:p>
      <w:pPr>
        <w:autoSpaceDE w:val="0"/>
        <w:autoSpaceDN w:val="0"/>
        <w:adjustRightInd w:val="0"/>
        <w:snapToGrid w:val="0"/>
        <w:spacing w:line="400" w:lineRule="exact"/>
        <w:jc w:val="left"/>
        <w:rPr>
          <w:rFonts w:ascii="新宋体" w:hAnsi="新宋体" w:eastAsia="新宋体" w:cs="宋体"/>
          <w:kern w:val="0"/>
          <w:sz w:val="24"/>
        </w:rPr>
      </w:pPr>
      <w:r>
        <w:rPr>
          <w:rFonts w:hint="eastAsia" w:ascii="新宋体" w:hAnsi="新宋体" w:eastAsia="新宋体" w:cs="宋体"/>
          <w:kern w:val="0"/>
          <w:sz w:val="24"/>
        </w:rPr>
        <w:t>4.</w:t>
      </w:r>
      <w:r>
        <w:rPr>
          <w:rFonts w:hint="eastAsia" w:ascii="新宋体" w:hAnsi="新宋体" w:eastAsia="新宋体" w:cs="宋体"/>
          <w:kern w:val="0"/>
          <w:sz w:val="24"/>
        </w:rPr>
        <w:tab/>
      </w:r>
      <w:r>
        <w:rPr>
          <w:rFonts w:hint="eastAsia" w:ascii="新宋体" w:hAnsi="新宋体" w:eastAsia="新宋体" w:cs="宋体"/>
          <w:kern w:val="0"/>
          <w:sz w:val="24"/>
        </w:rPr>
        <w:t>产品版权：</w:t>
      </w:r>
      <w:r>
        <w:rPr>
          <w:rFonts w:hint="eastAsia" w:ascii="新宋体" w:hAnsi="新宋体" w:eastAsia="新宋体"/>
          <w:sz w:val="24"/>
        </w:rPr>
        <w:t>***包装涉及的印刷版、机凸版、模切板、局部UV版的版权，模具及实物归我司所有，供货方须将工程图纸如实提供至我司备份。</w:t>
      </w:r>
    </w:p>
    <w:p>
      <w:pPr>
        <w:autoSpaceDE w:val="0"/>
        <w:autoSpaceDN w:val="0"/>
        <w:adjustRightInd w:val="0"/>
        <w:snapToGrid w:val="0"/>
        <w:spacing w:line="400" w:lineRule="exact"/>
        <w:jc w:val="left"/>
        <w:rPr>
          <w:rFonts w:ascii="新宋体" w:hAnsi="新宋体" w:eastAsia="新宋体" w:cs="宋体"/>
          <w:kern w:val="0"/>
          <w:sz w:val="24"/>
        </w:rPr>
      </w:pPr>
      <w:r>
        <w:rPr>
          <w:rFonts w:hint="eastAsia" w:ascii="新宋体" w:hAnsi="新宋体" w:eastAsia="新宋体" w:cs="宋体"/>
          <w:kern w:val="0"/>
          <w:sz w:val="24"/>
        </w:rPr>
        <w:t>5.</w:t>
      </w:r>
      <w:r>
        <w:rPr>
          <w:rFonts w:hint="eastAsia" w:ascii="新宋体" w:hAnsi="新宋体" w:eastAsia="新宋体" w:cs="宋体"/>
          <w:kern w:val="0"/>
          <w:sz w:val="24"/>
        </w:rPr>
        <w:tab/>
      </w:r>
      <w:r>
        <w:rPr>
          <w:rFonts w:hint="eastAsia" w:ascii="新宋体" w:hAnsi="新宋体" w:eastAsia="新宋体" w:cs="宋体"/>
          <w:kern w:val="0"/>
          <w:sz w:val="24"/>
        </w:rPr>
        <w:t>质量标准、质保期：</w:t>
      </w:r>
    </w:p>
    <w:p>
      <w:pPr>
        <w:autoSpaceDE w:val="0"/>
        <w:autoSpaceDN w:val="0"/>
        <w:adjustRightInd w:val="0"/>
        <w:snapToGrid w:val="0"/>
        <w:spacing w:line="400" w:lineRule="exact"/>
        <w:jc w:val="left"/>
        <w:rPr>
          <w:rFonts w:ascii="新宋体" w:hAnsi="新宋体" w:eastAsia="新宋体" w:cs="宋体"/>
          <w:kern w:val="0"/>
          <w:sz w:val="24"/>
        </w:rPr>
      </w:pPr>
      <w:r>
        <w:rPr>
          <w:rFonts w:hint="eastAsia" w:ascii="新宋体" w:hAnsi="新宋体" w:eastAsia="新宋体" w:cs="宋体"/>
          <w:kern w:val="0"/>
          <w:sz w:val="24"/>
        </w:rPr>
        <w:t>5.1 产品的质量标准：符合国家及行业相关标准，且能满足甲方的使用需求，产品材质符合中国食品卫生要求，不得含有有毒有害的物质，本合同产品不含有任何违反国家规定的非法添加物，若有乙方愿承担所有后果，并向甲方支付订单总金额的30%作为违约金（具体质量标准及质量要求详见附件一）。</w:t>
      </w:r>
    </w:p>
    <w:p>
      <w:pPr>
        <w:autoSpaceDE w:val="0"/>
        <w:autoSpaceDN w:val="0"/>
        <w:adjustRightInd w:val="0"/>
        <w:snapToGrid w:val="0"/>
        <w:spacing w:line="400" w:lineRule="exact"/>
        <w:jc w:val="left"/>
        <w:rPr>
          <w:rFonts w:ascii="新宋体" w:hAnsi="新宋体" w:eastAsia="新宋体" w:cs="宋体"/>
          <w:kern w:val="0"/>
          <w:sz w:val="24"/>
        </w:rPr>
      </w:pPr>
      <w:r>
        <w:rPr>
          <w:rFonts w:hint="eastAsia" w:ascii="新宋体" w:hAnsi="新宋体" w:eastAsia="新宋体" w:cs="宋体"/>
          <w:kern w:val="0"/>
          <w:sz w:val="24"/>
        </w:rPr>
        <w:t>5.2 乙方对其产品质量负责。乙方负责提供缺陷产品的免费调换等服务。只要甲方提出书面要求，乙方必须在【2】个工作日内给予书面答复并着手解决。所需费用均由乙方承担。</w:t>
      </w:r>
    </w:p>
    <w:p>
      <w:pPr>
        <w:autoSpaceDE w:val="0"/>
        <w:autoSpaceDN w:val="0"/>
        <w:adjustRightInd w:val="0"/>
        <w:snapToGrid w:val="0"/>
        <w:spacing w:line="400" w:lineRule="exact"/>
        <w:jc w:val="left"/>
        <w:rPr>
          <w:rFonts w:ascii="新宋体" w:hAnsi="新宋体" w:eastAsia="新宋体" w:cs="宋体"/>
          <w:kern w:val="0"/>
          <w:sz w:val="24"/>
        </w:rPr>
      </w:pPr>
      <w:r>
        <w:rPr>
          <w:rFonts w:hint="eastAsia" w:ascii="新宋体" w:hAnsi="新宋体" w:eastAsia="新宋体" w:cs="宋体"/>
          <w:kern w:val="0"/>
          <w:sz w:val="24"/>
        </w:rPr>
        <w:t>5.3 对产品质量的异议以双方签样封存的样品为判定标准，可见外观产品质量异议期截至甲方收货并验收合格之日起30日止。但因产品本身质量不合格，不因甲方在产品可见外观质量异议期内未提出异议而减少乙方为其供应的质量不合格产品依法应承担的产品责任。</w:t>
      </w:r>
    </w:p>
    <w:p>
      <w:pPr>
        <w:autoSpaceDE w:val="0"/>
        <w:autoSpaceDN w:val="0"/>
        <w:adjustRightInd w:val="0"/>
        <w:snapToGrid w:val="0"/>
        <w:spacing w:line="400" w:lineRule="exact"/>
        <w:jc w:val="left"/>
        <w:rPr>
          <w:rFonts w:ascii="新宋体" w:hAnsi="新宋体" w:eastAsia="新宋体" w:cs="宋体"/>
          <w:kern w:val="0"/>
          <w:sz w:val="24"/>
        </w:rPr>
      </w:pPr>
      <w:r>
        <w:rPr>
          <w:rFonts w:hint="eastAsia" w:ascii="新宋体" w:hAnsi="新宋体" w:eastAsia="新宋体" w:cs="宋体"/>
          <w:kern w:val="0"/>
          <w:sz w:val="24"/>
        </w:rPr>
        <w:t>5.4 甲方在验收过程中发现的不合格品，如属整批不合格将整批退货，不降级使用，不降价使用；如属部分质差或量差，只入库合格部分。车间使用过程中如发现量差或质差产品，甲方要求乙方当月及时补上，保证甲方完成生产任务；对质差产品经甲乙双方确认后销毁。</w:t>
      </w:r>
    </w:p>
    <w:p>
      <w:pPr>
        <w:autoSpaceDE w:val="0"/>
        <w:autoSpaceDN w:val="0"/>
        <w:adjustRightInd w:val="0"/>
        <w:snapToGrid w:val="0"/>
        <w:spacing w:line="400" w:lineRule="exact"/>
        <w:jc w:val="left"/>
        <w:rPr>
          <w:rFonts w:ascii="新宋体" w:hAnsi="新宋体" w:eastAsia="新宋体" w:cs="宋体"/>
          <w:kern w:val="0"/>
          <w:sz w:val="24"/>
        </w:rPr>
      </w:pPr>
      <w:r>
        <w:rPr>
          <w:rFonts w:hint="eastAsia" w:ascii="新宋体" w:hAnsi="新宋体" w:eastAsia="新宋体" w:cs="宋体"/>
          <w:kern w:val="0"/>
          <w:sz w:val="24"/>
        </w:rPr>
        <w:t>5.5 乙方出现质量不合格或送货不及时，第一次甲方对乙方警告，第二次列入供应商黑名单，第三次剔除不合格供应商，三年不得重新录用。</w:t>
      </w:r>
    </w:p>
    <w:p>
      <w:pPr>
        <w:autoSpaceDE w:val="0"/>
        <w:autoSpaceDN w:val="0"/>
        <w:adjustRightInd w:val="0"/>
        <w:snapToGrid w:val="0"/>
        <w:spacing w:line="400" w:lineRule="exact"/>
        <w:jc w:val="left"/>
        <w:rPr>
          <w:rFonts w:ascii="新宋体" w:hAnsi="新宋体" w:eastAsia="新宋体" w:cs="宋体"/>
          <w:kern w:val="0"/>
          <w:sz w:val="24"/>
        </w:rPr>
      </w:pPr>
      <w:r>
        <w:rPr>
          <w:rFonts w:hint="eastAsia" w:ascii="新宋体" w:hAnsi="新宋体" w:eastAsia="新宋体" w:cs="宋体"/>
          <w:kern w:val="0"/>
          <w:sz w:val="24"/>
        </w:rPr>
        <w:t>6.</w:t>
      </w:r>
      <w:r>
        <w:rPr>
          <w:rFonts w:hint="eastAsia" w:ascii="新宋体" w:hAnsi="新宋体" w:eastAsia="新宋体" w:cs="宋体"/>
          <w:kern w:val="0"/>
          <w:sz w:val="24"/>
        </w:rPr>
        <w:tab/>
      </w:r>
      <w:r>
        <w:rPr>
          <w:rFonts w:hint="eastAsia" w:ascii="新宋体" w:hAnsi="新宋体" w:eastAsia="新宋体" w:cs="宋体"/>
          <w:kern w:val="0"/>
          <w:sz w:val="24"/>
        </w:rPr>
        <w:t>运输及保险：</w:t>
      </w:r>
    </w:p>
    <w:p>
      <w:pPr>
        <w:autoSpaceDE w:val="0"/>
        <w:autoSpaceDN w:val="0"/>
        <w:adjustRightInd w:val="0"/>
        <w:snapToGrid w:val="0"/>
        <w:spacing w:line="400" w:lineRule="exact"/>
        <w:jc w:val="left"/>
        <w:rPr>
          <w:rFonts w:ascii="新宋体" w:hAnsi="新宋体" w:eastAsia="新宋体" w:cs="宋体"/>
          <w:kern w:val="0"/>
          <w:sz w:val="24"/>
        </w:rPr>
      </w:pPr>
      <w:r>
        <w:rPr>
          <w:rFonts w:hint="eastAsia" w:ascii="新宋体" w:hAnsi="新宋体" w:eastAsia="新宋体" w:cs="宋体"/>
          <w:kern w:val="0"/>
          <w:sz w:val="24"/>
        </w:rPr>
        <w:t>乙方应负责安排运输并承担运到甲方指定地点所需一切产品运输、装卸、保险、税收等费用。</w:t>
      </w:r>
    </w:p>
    <w:p>
      <w:pPr>
        <w:autoSpaceDE w:val="0"/>
        <w:autoSpaceDN w:val="0"/>
        <w:adjustRightInd w:val="0"/>
        <w:snapToGrid w:val="0"/>
        <w:spacing w:line="400" w:lineRule="exact"/>
        <w:jc w:val="left"/>
        <w:rPr>
          <w:rFonts w:ascii="新宋体" w:hAnsi="新宋体" w:eastAsia="新宋体" w:cs="宋体"/>
          <w:kern w:val="0"/>
          <w:sz w:val="24"/>
        </w:rPr>
      </w:pPr>
      <w:r>
        <w:rPr>
          <w:rFonts w:hint="eastAsia" w:ascii="新宋体" w:hAnsi="新宋体" w:eastAsia="新宋体" w:cs="宋体"/>
          <w:kern w:val="0"/>
          <w:sz w:val="24"/>
        </w:rPr>
        <w:t>7.  结算方式及期限：</w:t>
      </w:r>
    </w:p>
    <w:p>
      <w:pPr>
        <w:autoSpaceDE w:val="0"/>
        <w:autoSpaceDN w:val="0"/>
        <w:adjustRightInd w:val="0"/>
        <w:snapToGrid w:val="0"/>
        <w:spacing w:line="400" w:lineRule="exact"/>
        <w:jc w:val="left"/>
        <w:rPr>
          <w:rFonts w:ascii="新宋体" w:hAnsi="新宋体" w:eastAsia="新宋体" w:cs="宋体"/>
          <w:kern w:val="0"/>
          <w:sz w:val="24"/>
        </w:rPr>
      </w:pPr>
      <w:r>
        <w:rPr>
          <w:rFonts w:hint="eastAsia" w:ascii="新宋体" w:hAnsi="新宋体" w:eastAsia="新宋体" w:cs="宋体"/>
          <w:kern w:val="0"/>
          <w:sz w:val="24"/>
        </w:rPr>
        <w:t>7.1 乙方生产的产品到甲方仓库验收合格入库后，于当月27日前开具全额增值税发票给甲方，同时提供订单和甲方的验收入库单。没有订单、验收入库单以及订单失效的货物将不予结算，由此造成的损失，乙方自行承担。</w:t>
      </w:r>
    </w:p>
    <w:p>
      <w:pPr>
        <w:autoSpaceDE w:val="0"/>
        <w:autoSpaceDN w:val="0"/>
        <w:adjustRightInd w:val="0"/>
        <w:snapToGrid w:val="0"/>
        <w:spacing w:line="400" w:lineRule="exact"/>
        <w:jc w:val="left"/>
        <w:rPr>
          <w:rFonts w:ascii="新宋体" w:hAnsi="新宋体" w:eastAsia="新宋体" w:cs="宋体"/>
          <w:kern w:val="0"/>
          <w:sz w:val="24"/>
        </w:rPr>
      </w:pPr>
      <w:r>
        <w:rPr>
          <w:rFonts w:hint="eastAsia" w:ascii="新宋体" w:hAnsi="新宋体" w:eastAsia="新宋体" w:cs="宋体"/>
          <w:kern w:val="0"/>
          <w:sz w:val="24"/>
        </w:rPr>
        <w:t>7.2 甲方承诺收到乙方当月增值税发票后四十日内将相应货款支付给乙方。结算方式银行电子承兑。逾期开票该月货款将延迟一个月支付。</w:t>
      </w:r>
    </w:p>
    <w:p>
      <w:pPr>
        <w:autoSpaceDE w:val="0"/>
        <w:autoSpaceDN w:val="0"/>
        <w:adjustRightInd w:val="0"/>
        <w:snapToGrid w:val="0"/>
        <w:spacing w:line="400" w:lineRule="exact"/>
        <w:jc w:val="left"/>
        <w:rPr>
          <w:rFonts w:ascii="新宋体" w:hAnsi="新宋体" w:eastAsia="新宋体" w:cs="宋体"/>
          <w:kern w:val="0"/>
          <w:sz w:val="24"/>
        </w:rPr>
      </w:pPr>
      <w:r>
        <w:rPr>
          <w:rFonts w:hint="eastAsia" w:ascii="新宋体" w:hAnsi="新宋体" w:eastAsia="新宋体" w:cs="宋体"/>
          <w:kern w:val="0"/>
          <w:sz w:val="24"/>
        </w:rPr>
        <w:t>7.3  2019年11月、12月、2020年1月，这三个月的累计货款甲方于2020年3月支付乙方。</w:t>
      </w:r>
    </w:p>
    <w:p>
      <w:pPr>
        <w:autoSpaceDE w:val="0"/>
        <w:autoSpaceDN w:val="0"/>
        <w:adjustRightInd w:val="0"/>
        <w:snapToGrid w:val="0"/>
        <w:spacing w:line="400" w:lineRule="exact"/>
        <w:jc w:val="left"/>
        <w:rPr>
          <w:rFonts w:ascii="新宋体" w:hAnsi="新宋体" w:eastAsia="新宋体" w:cs="宋体"/>
          <w:kern w:val="0"/>
          <w:sz w:val="24"/>
        </w:rPr>
      </w:pPr>
      <w:r>
        <w:rPr>
          <w:rFonts w:hint="eastAsia" w:ascii="新宋体" w:hAnsi="新宋体" w:eastAsia="新宋体" w:cs="宋体"/>
          <w:kern w:val="0"/>
          <w:sz w:val="24"/>
        </w:rPr>
        <w:t>8.</w:t>
      </w:r>
      <w:r>
        <w:rPr>
          <w:rFonts w:hint="eastAsia" w:ascii="新宋体" w:hAnsi="新宋体" w:eastAsia="新宋体" w:cs="宋体"/>
          <w:kern w:val="0"/>
          <w:sz w:val="24"/>
        </w:rPr>
        <w:tab/>
      </w:r>
      <w:r>
        <w:rPr>
          <w:rFonts w:hint="eastAsia" w:ascii="新宋体" w:hAnsi="新宋体" w:eastAsia="新宋体" w:cs="宋体"/>
          <w:kern w:val="0"/>
          <w:sz w:val="24"/>
        </w:rPr>
        <w:t>违约责任：</w:t>
      </w:r>
    </w:p>
    <w:p>
      <w:pPr>
        <w:autoSpaceDE w:val="0"/>
        <w:autoSpaceDN w:val="0"/>
        <w:adjustRightInd w:val="0"/>
        <w:snapToGrid w:val="0"/>
        <w:spacing w:line="400" w:lineRule="exact"/>
        <w:jc w:val="left"/>
        <w:rPr>
          <w:rFonts w:ascii="新宋体" w:hAnsi="新宋体" w:eastAsia="新宋体" w:cs="宋体"/>
          <w:kern w:val="0"/>
          <w:sz w:val="24"/>
        </w:rPr>
      </w:pPr>
      <w:r>
        <w:rPr>
          <w:rFonts w:hint="eastAsia" w:ascii="新宋体" w:hAnsi="新宋体" w:eastAsia="新宋体" w:cs="宋体"/>
          <w:kern w:val="0"/>
          <w:sz w:val="24"/>
        </w:rPr>
        <w:t>8.1 乙方按甲方所下达的书面生产计划订单按时、保质保量完成。乙方如不按约交货，甲方有权选择下列任一方式要求乙方承担违约责任：</w:t>
      </w:r>
    </w:p>
    <w:p>
      <w:pPr>
        <w:autoSpaceDE w:val="0"/>
        <w:autoSpaceDN w:val="0"/>
        <w:adjustRightInd w:val="0"/>
        <w:snapToGrid w:val="0"/>
        <w:spacing w:line="400" w:lineRule="exact"/>
        <w:jc w:val="left"/>
        <w:rPr>
          <w:rFonts w:ascii="新宋体" w:hAnsi="新宋体" w:eastAsia="新宋体" w:cs="宋体"/>
          <w:kern w:val="0"/>
          <w:sz w:val="24"/>
        </w:rPr>
      </w:pPr>
      <w:r>
        <w:rPr>
          <w:rFonts w:hint="eastAsia" w:ascii="新宋体" w:hAnsi="新宋体" w:eastAsia="新宋体" w:cs="宋体"/>
          <w:kern w:val="0"/>
          <w:sz w:val="24"/>
        </w:rPr>
        <w:t>8.1.1每日应按未完成供货计划总额每日千分之一向甲方支付违约金；</w:t>
      </w:r>
    </w:p>
    <w:p>
      <w:pPr>
        <w:autoSpaceDE w:val="0"/>
        <w:autoSpaceDN w:val="0"/>
        <w:adjustRightInd w:val="0"/>
        <w:snapToGrid w:val="0"/>
        <w:spacing w:line="400" w:lineRule="exact"/>
        <w:jc w:val="left"/>
        <w:rPr>
          <w:rFonts w:ascii="新宋体" w:hAnsi="新宋体" w:eastAsia="新宋体" w:cs="宋体"/>
          <w:kern w:val="0"/>
          <w:sz w:val="24"/>
        </w:rPr>
      </w:pPr>
      <w:r>
        <w:rPr>
          <w:rFonts w:hint="eastAsia" w:ascii="新宋体" w:hAnsi="新宋体" w:eastAsia="新宋体" w:cs="宋体"/>
          <w:kern w:val="0"/>
          <w:sz w:val="24"/>
        </w:rPr>
        <w:t>8.1.2乙方应按订单总金额的30%向甲方支付违约金。</w:t>
      </w:r>
    </w:p>
    <w:p>
      <w:pPr>
        <w:autoSpaceDE w:val="0"/>
        <w:autoSpaceDN w:val="0"/>
        <w:adjustRightInd w:val="0"/>
        <w:snapToGrid w:val="0"/>
        <w:spacing w:line="400" w:lineRule="exact"/>
        <w:jc w:val="left"/>
        <w:rPr>
          <w:rFonts w:ascii="新宋体" w:hAnsi="新宋体" w:eastAsia="新宋体" w:cs="宋体"/>
          <w:kern w:val="0"/>
          <w:sz w:val="24"/>
        </w:rPr>
      </w:pPr>
      <w:r>
        <w:rPr>
          <w:rFonts w:hint="eastAsia" w:ascii="新宋体" w:hAnsi="新宋体" w:eastAsia="新宋体" w:cs="宋体"/>
          <w:kern w:val="0"/>
          <w:sz w:val="24"/>
        </w:rPr>
        <w:t>延期超过三十日的，甲方有权单方解除合同并不承担违约责任。如违约金不足弥补甲方损失的，甲方有权要求乙方赔偿实际损失。</w:t>
      </w:r>
    </w:p>
    <w:p>
      <w:pPr>
        <w:autoSpaceDE w:val="0"/>
        <w:autoSpaceDN w:val="0"/>
        <w:adjustRightInd w:val="0"/>
        <w:snapToGrid w:val="0"/>
        <w:spacing w:line="400" w:lineRule="exact"/>
        <w:jc w:val="left"/>
        <w:rPr>
          <w:rFonts w:ascii="新宋体" w:hAnsi="新宋体" w:eastAsia="新宋体" w:cs="宋体"/>
          <w:kern w:val="0"/>
          <w:sz w:val="24"/>
        </w:rPr>
      </w:pPr>
      <w:r>
        <w:rPr>
          <w:rFonts w:hint="eastAsia" w:ascii="新宋体" w:hAnsi="新宋体" w:eastAsia="新宋体" w:cs="宋体"/>
          <w:kern w:val="0"/>
          <w:sz w:val="24"/>
        </w:rPr>
        <w:t>8.2 甲方遵守付款期约定，如甲方未能按期支付货款，应向乙方赔偿应付货款1‰/日的违约金。</w:t>
      </w:r>
    </w:p>
    <w:p>
      <w:pPr>
        <w:autoSpaceDE w:val="0"/>
        <w:autoSpaceDN w:val="0"/>
        <w:adjustRightInd w:val="0"/>
        <w:snapToGrid w:val="0"/>
        <w:spacing w:line="400" w:lineRule="exact"/>
        <w:jc w:val="left"/>
        <w:rPr>
          <w:rFonts w:ascii="新宋体" w:hAnsi="新宋体" w:eastAsia="新宋体" w:cs="宋体"/>
          <w:kern w:val="0"/>
          <w:sz w:val="24"/>
        </w:rPr>
      </w:pPr>
      <w:r>
        <w:rPr>
          <w:rFonts w:hint="eastAsia" w:ascii="新宋体" w:hAnsi="新宋体" w:eastAsia="新宋体" w:cs="宋体"/>
          <w:kern w:val="0"/>
          <w:sz w:val="24"/>
        </w:rPr>
        <w:t>8.3 乙方按封样要求进行生产，确保产品质量，如发生质量问题，给甲方、造成损失，乙方应承担相应责任</w:t>
      </w:r>
    </w:p>
    <w:p>
      <w:pPr>
        <w:autoSpaceDE w:val="0"/>
        <w:autoSpaceDN w:val="0"/>
        <w:adjustRightInd w:val="0"/>
        <w:snapToGrid w:val="0"/>
        <w:spacing w:line="400" w:lineRule="exact"/>
        <w:jc w:val="left"/>
        <w:rPr>
          <w:rFonts w:ascii="新宋体" w:hAnsi="新宋体" w:eastAsia="新宋体" w:cs="宋体"/>
          <w:kern w:val="0"/>
          <w:sz w:val="24"/>
        </w:rPr>
      </w:pPr>
      <w:r>
        <w:rPr>
          <w:rFonts w:hint="eastAsia" w:ascii="新宋体" w:hAnsi="新宋体" w:eastAsia="新宋体" w:cs="宋体"/>
          <w:kern w:val="0"/>
          <w:sz w:val="24"/>
        </w:rPr>
        <w:t>9.</w:t>
      </w:r>
      <w:r>
        <w:rPr>
          <w:rFonts w:hint="eastAsia" w:ascii="新宋体" w:hAnsi="新宋体" w:eastAsia="新宋体" w:cs="宋体"/>
          <w:kern w:val="0"/>
          <w:sz w:val="24"/>
        </w:rPr>
        <w:tab/>
      </w:r>
      <w:r>
        <w:rPr>
          <w:rFonts w:hint="eastAsia" w:ascii="新宋体" w:hAnsi="新宋体" w:eastAsia="新宋体" w:cs="宋体"/>
          <w:kern w:val="0"/>
          <w:sz w:val="24"/>
        </w:rPr>
        <w:t>合同期限：2019.6-2020.2.28</w:t>
      </w:r>
    </w:p>
    <w:p>
      <w:pPr>
        <w:autoSpaceDE w:val="0"/>
        <w:autoSpaceDN w:val="0"/>
        <w:adjustRightInd w:val="0"/>
        <w:snapToGrid w:val="0"/>
        <w:spacing w:line="400" w:lineRule="exact"/>
        <w:jc w:val="left"/>
        <w:rPr>
          <w:rFonts w:ascii="新宋体" w:hAnsi="新宋体" w:eastAsia="新宋体" w:cs="宋体"/>
          <w:kern w:val="0"/>
          <w:sz w:val="24"/>
        </w:rPr>
      </w:pPr>
      <w:r>
        <w:rPr>
          <w:rFonts w:hint="eastAsia" w:ascii="新宋体" w:hAnsi="新宋体" w:eastAsia="新宋体" w:cs="宋体"/>
          <w:kern w:val="0"/>
          <w:sz w:val="24"/>
        </w:rPr>
        <w:t>10.</w:t>
      </w:r>
      <w:r>
        <w:rPr>
          <w:rFonts w:hint="eastAsia" w:ascii="新宋体" w:hAnsi="新宋体" w:eastAsia="新宋体" w:cs="宋体"/>
          <w:kern w:val="0"/>
          <w:sz w:val="24"/>
        </w:rPr>
        <w:tab/>
      </w:r>
      <w:r>
        <w:rPr>
          <w:rFonts w:hint="eastAsia" w:ascii="新宋体" w:hAnsi="新宋体" w:eastAsia="新宋体" w:cs="宋体"/>
          <w:kern w:val="0"/>
          <w:sz w:val="24"/>
        </w:rPr>
        <w:t>解决合同纠纷的方式：</w:t>
      </w:r>
    </w:p>
    <w:p>
      <w:pPr>
        <w:autoSpaceDE w:val="0"/>
        <w:autoSpaceDN w:val="0"/>
        <w:adjustRightInd w:val="0"/>
        <w:snapToGrid w:val="0"/>
        <w:spacing w:line="400" w:lineRule="exact"/>
        <w:jc w:val="left"/>
        <w:rPr>
          <w:rFonts w:ascii="新宋体" w:hAnsi="新宋体" w:eastAsia="新宋体" w:cs="宋体"/>
          <w:kern w:val="0"/>
          <w:sz w:val="24"/>
        </w:rPr>
      </w:pPr>
      <w:r>
        <w:rPr>
          <w:rFonts w:hint="eastAsia" w:ascii="新宋体" w:hAnsi="新宋体" w:eastAsia="新宋体" w:cs="宋体"/>
          <w:kern w:val="0"/>
          <w:sz w:val="24"/>
        </w:rPr>
        <w:t xml:space="preserve">    执行本合同发生争议，由双方协商解决，协商不成，向甲方所在地有管辖权的人民法院起诉。</w:t>
      </w:r>
    </w:p>
    <w:p>
      <w:pPr>
        <w:autoSpaceDE w:val="0"/>
        <w:autoSpaceDN w:val="0"/>
        <w:adjustRightInd w:val="0"/>
        <w:snapToGrid w:val="0"/>
        <w:spacing w:line="400" w:lineRule="exact"/>
        <w:jc w:val="left"/>
        <w:rPr>
          <w:rFonts w:ascii="新宋体" w:hAnsi="新宋体" w:eastAsia="新宋体" w:cs="宋体"/>
          <w:kern w:val="0"/>
          <w:sz w:val="24"/>
        </w:rPr>
      </w:pPr>
      <w:r>
        <w:rPr>
          <w:rFonts w:hint="eastAsia" w:ascii="新宋体" w:hAnsi="新宋体" w:eastAsia="新宋体" w:cs="宋体"/>
          <w:kern w:val="0"/>
          <w:sz w:val="24"/>
        </w:rPr>
        <w:t>11.</w:t>
      </w:r>
      <w:r>
        <w:rPr>
          <w:rFonts w:hint="eastAsia" w:ascii="新宋体" w:hAnsi="新宋体" w:eastAsia="新宋体" w:cs="宋体"/>
          <w:kern w:val="0"/>
          <w:sz w:val="24"/>
        </w:rPr>
        <w:tab/>
      </w:r>
      <w:r>
        <w:rPr>
          <w:rFonts w:hint="eastAsia" w:ascii="新宋体" w:hAnsi="新宋体" w:eastAsia="新宋体" w:cs="宋体"/>
          <w:kern w:val="0"/>
          <w:sz w:val="24"/>
        </w:rPr>
        <w:t xml:space="preserve"> 其他条款：</w:t>
      </w:r>
    </w:p>
    <w:p>
      <w:pPr>
        <w:autoSpaceDE w:val="0"/>
        <w:autoSpaceDN w:val="0"/>
        <w:adjustRightInd w:val="0"/>
        <w:snapToGrid w:val="0"/>
        <w:spacing w:line="400" w:lineRule="exact"/>
        <w:jc w:val="left"/>
        <w:rPr>
          <w:rFonts w:ascii="新宋体" w:hAnsi="新宋体" w:eastAsia="新宋体" w:cs="宋体"/>
          <w:kern w:val="0"/>
          <w:sz w:val="24"/>
        </w:rPr>
      </w:pPr>
      <w:r>
        <w:rPr>
          <w:rFonts w:hint="eastAsia" w:ascii="新宋体" w:hAnsi="新宋体" w:eastAsia="新宋体" w:cs="宋体"/>
          <w:kern w:val="0"/>
          <w:sz w:val="24"/>
        </w:rPr>
        <w:t>11.1 自本合同签定之日起，甲乙双方在此日期之前所签定的合同及所下订单自行终止。</w:t>
      </w:r>
    </w:p>
    <w:p>
      <w:pPr>
        <w:autoSpaceDE w:val="0"/>
        <w:autoSpaceDN w:val="0"/>
        <w:adjustRightInd w:val="0"/>
        <w:snapToGrid w:val="0"/>
        <w:spacing w:line="400" w:lineRule="exact"/>
        <w:jc w:val="left"/>
        <w:rPr>
          <w:rFonts w:ascii="新宋体" w:hAnsi="新宋体" w:eastAsia="新宋体" w:cs="宋体"/>
          <w:kern w:val="0"/>
          <w:sz w:val="24"/>
        </w:rPr>
      </w:pPr>
      <w:r>
        <w:rPr>
          <w:rFonts w:hint="eastAsia" w:ascii="新宋体" w:hAnsi="新宋体" w:eastAsia="新宋体" w:cs="宋体"/>
          <w:kern w:val="0"/>
          <w:sz w:val="24"/>
        </w:rPr>
        <w:t>11.2 甲乙双方约定，本合同签定后，在合同履行有效期间，无论原材料涨跌，本合同采购价格不变。</w:t>
      </w:r>
    </w:p>
    <w:p>
      <w:pPr>
        <w:autoSpaceDE w:val="0"/>
        <w:autoSpaceDN w:val="0"/>
        <w:adjustRightInd w:val="0"/>
        <w:snapToGrid w:val="0"/>
        <w:spacing w:line="400" w:lineRule="exact"/>
        <w:jc w:val="left"/>
        <w:rPr>
          <w:rFonts w:ascii="新宋体" w:hAnsi="新宋体" w:eastAsia="新宋体" w:cs="宋体"/>
          <w:kern w:val="0"/>
          <w:sz w:val="24"/>
        </w:rPr>
      </w:pPr>
      <w:r>
        <w:rPr>
          <w:rFonts w:hint="eastAsia" w:ascii="新宋体" w:hAnsi="新宋体" w:eastAsia="新宋体" w:cs="宋体"/>
          <w:kern w:val="0"/>
          <w:sz w:val="24"/>
        </w:rPr>
        <w:t>11.3 甲方根据生产需要，在合同期间可以寻求其它厂家提供，乙方不得提出异议或干涉，甲方不承担任何违约责任或赔偿责任。</w:t>
      </w:r>
    </w:p>
    <w:p>
      <w:pPr>
        <w:autoSpaceDE w:val="0"/>
        <w:autoSpaceDN w:val="0"/>
        <w:adjustRightInd w:val="0"/>
        <w:snapToGrid w:val="0"/>
        <w:spacing w:line="400" w:lineRule="exact"/>
        <w:jc w:val="left"/>
        <w:rPr>
          <w:rFonts w:ascii="新宋体" w:hAnsi="新宋体" w:eastAsia="新宋体" w:cs="宋体"/>
          <w:kern w:val="0"/>
          <w:sz w:val="24"/>
        </w:rPr>
      </w:pPr>
      <w:r>
        <w:rPr>
          <w:rFonts w:hint="eastAsia" w:ascii="新宋体" w:hAnsi="新宋体" w:eastAsia="新宋体" w:cs="宋体"/>
          <w:kern w:val="0"/>
          <w:sz w:val="24"/>
        </w:rPr>
        <w:t>11.4 乙方在参加本合同产品采购招标及签订本合同过程中提供的一切包括但不限于产品售后服务承诺书、投标文件等，如相关文件有矛盾不一致，以本合同约定为准。</w:t>
      </w:r>
    </w:p>
    <w:p>
      <w:pPr>
        <w:autoSpaceDE w:val="0"/>
        <w:autoSpaceDN w:val="0"/>
        <w:adjustRightInd w:val="0"/>
        <w:snapToGrid w:val="0"/>
        <w:spacing w:line="400" w:lineRule="exact"/>
        <w:jc w:val="left"/>
        <w:rPr>
          <w:rFonts w:ascii="新宋体" w:hAnsi="新宋体" w:eastAsia="新宋体" w:cs="宋体"/>
          <w:kern w:val="0"/>
          <w:sz w:val="24"/>
        </w:rPr>
      </w:pPr>
      <w:r>
        <w:rPr>
          <w:rFonts w:hint="eastAsia" w:ascii="新宋体" w:hAnsi="新宋体" w:eastAsia="新宋体" w:cs="宋体"/>
          <w:kern w:val="0"/>
          <w:sz w:val="24"/>
        </w:rPr>
        <w:t>11.5 禁止乙方业务员及驾驶员带烟火进厂，如有发现的，扣罚货款1万元/次。</w:t>
      </w:r>
    </w:p>
    <w:p>
      <w:pPr>
        <w:autoSpaceDE w:val="0"/>
        <w:autoSpaceDN w:val="0"/>
        <w:adjustRightInd w:val="0"/>
        <w:snapToGrid w:val="0"/>
        <w:spacing w:line="400" w:lineRule="exact"/>
        <w:jc w:val="left"/>
        <w:rPr>
          <w:rFonts w:ascii="新宋体" w:hAnsi="新宋体" w:eastAsia="新宋体" w:cs="宋体"/>
          <w:kern w:val="0"/>
          <w:sz w:val="24"/>
        </w:rPr>
      </w:pPr>
      <w:r>
        <w:rPr>
          <w:rFonts w:hint="eastAsia" w:ascii="新宋体" w:hAnsi="新宋体" w:eastAsia="新宋体" w:cs="宋体"/>
          <w:kern w:val="0"/>
          <w:sz w:val="24"/>
        </w:rPr>
        <w:t>11.6 其他约定：</w:t>
      </w:r>
    </w:p>
    <w:p>
      <w:pPr>
        <w:autoSpaceDE w:val="0"/>
        <w:autoSpaceDN w:val="0"/>
        <w:adjustRightInd w:val="0"/>
        <w:snapToGrid w:val="0"/>
        <w:spacing w:line="400" w:lineRule="exact"/>
        <w:ind w:firstLine="480" w:firstLineChars="200"/>
        <w:jc w:val="left"/>
        <w:rPr>
          <w:rFonts w:ascii="新宋体" w:hAnsi="新宋体" w:eastAsia="新宋体" w:cs="宋体"/>
          <w:kern w:val="0"/>
          <w:sz w:val="24"/>
        </w:rPr>
      </w:pPr>
      <w:r>
        <w:rPr>
          <w:rFonts w:hint="eastAsia" w:ascii="新宋体" w:hAnsi="新宋体" w:eastAsia="新宋体" w:cs="宋体"/>
          <w:kern w:val="0"/>
          <w:sz w:val="24"/>
        </w:rPr>
        <w:t>在合同期间所发生的一切经济纠纷，均属企业行为，与经办人无关。</w:t>
      </w:r>
    </w:p>
    <w:p>
      <w:pPr>
        <w:autoSpaceDE w:val="0"/>
        <w:autoSpaceDN w:val="0"/>
        <w:adjustRightInd w:val="0"/>
        <w:snapToGrid w:val="0"/>
        <w:spacing w:line="400" w:lineRule="exact"/>
        <w:jc w:val="left"/>
        <w:rPr>
          <w:rFonts w:ascii="新宋体" w:hAnsi="新宋体" w:eastAsia="新宋体" w:cs="宋体"/>
          <w:kern w:val="0"/>
          <w:sz w:val="24"/>
        </w:rPr>
      </w:pPr>
      <w:r>
        <w:rPr>
          <w:rFonts w:hint="eastAsia" w:ascii="新宋体" w:hAnsi="新宋体" w:eastAsia="新宋体" w:cs="宋体"/>
          <w:kern w:val="0"/>
          <w:sz w:val="24"/>
        </w:rPr>
        <w:t>12. 本合同一经双方签章即生效，合同一式陆份，甲、乙双方各执三份，具有同等法律效力。</w:t>
      </w:r>
    </w:p>
    <w:p>
      <w:pPr>
        <w:widowControl/>
        <w:snapToGrid w:val="0"/>
        <w:ind w:firstLine="3120" w:firstLineChars="1300"/>
        <w:jc w:val="left"/>
        <w:rPr>
          <w:rFonts w:ascii="新宋体" w:hAnsi="新宋体" w:eastAsia="新宋体" w:cs="宋体"/>
          <w:kern w:val="0"/>
          <w:sz w:val="24"/>
        </w:rPr>
      </w:pPr>
      <w:r>
        <w:rPr>
          <w:rFonts w:hint="eastAsia" w:ascii="新宋体" w:hAnsi="新宋体" w:eastAsia="新宋体" w:cs="宋体"/>
          <w:kern w:val="0"/>
          <w:sz w:val="24"/>
        </w:rPr>
        <w:t>（以下无合同正文）</w:t>
      </w:r>
      <w:r>
        <w:rPr>
          <w:rFonts w:ascii="新宋体" w:hAnsi="新宋体" w:eastAsia="新宋体" w:cs="宋体"/>
          <w:kern w:val="0"/>
          <w:sz w:val="24"/>
        </w:rPr>
        <w:t xml:space="preserve"> </w:t>
      </w:r>
    </w:p>
    <w:p>
      <w:pPr>
        <w:widowControl/>
        <w:snapToGrid w:val="0"/>
        <w:ind w:firstLine="3120" w:firstLineChars="1300"/>
        <w:jc w:val="left"/>
        <w:rPr>
          <w:rFonts w:ascii="新宋体" w:hAnsi="新宋体" w:eastAsia="新宋体" w:cs="宋体"/>
          <w:kern w:val="0"/>
          <w:sz w:val="24"/>
        </w:rPr>
      </w:pPr>
    </w:p>
    <w:p>
      <w:pPr>
        <w:widowControl/>
        <w:snapToGrid w:val="0"/>
        <w:ind w:firstLine="3120" w:firstLineChars="1300"/>
        <w:jc w:val="left"/>
        <w:rPr>
          <w:rFonts w:ascii="新宋体" w:hAnsi="新宋体" w:eastAsia="新宋体" w:cs="宋体"/>
          <w:kern w:val="0"/>
          <w:sz w:val="24"/>
        </w:rPr>
      </w:pPr>
    </w:p>
    <w:p>
      <w:pPr>
        <w:widowControl/>
        <w:snapToGrid w:val="0"/>
        <w:jc w:val="left"/>
        <w:rPr>
          <w:rFonts w:ascii="新宋体" w:hAnsi="新宋体" w:eastAsia="新宋体" w:cs="宋体"/>
          <w:kern w:val="0"/>
          <w:sz w:val="24"/>
        </w:rPr>
      </w:pPr>
      <w:r>
        <w:rPr>
          <w:rFonts w:hint="eastAsia" w:ascii="新宋体" w:hAnsi="新宋体" w:eastAsia="新宋体" w:cs="宋体"/>
          <w:kern w:val="0"/>
          <w:sz w:val="24"/>
        </w:rPr>
        <w:t>如对本合同条款有异议，另行说明。</w:t>
      </w:r>
    </w:p>
    <w:p>
      <w:pPr>
        <w:autoSpaceDE w:val="0"/>
        <w:autoSpaceDN w:val="0"/>
        <w:adjustRightInd w:val="0"/>
        <w:snapToGrid w:val="0"/>
        <w:spacing w:line="360" w:lineRule="auto"/>
        <w:jc w:val="center"/>
        <w:rPr>
          <w:rFonts w:ascii="黑体" w:eastAsia="黑体"/>
          <w:b/>
          <w:sz w:val="30"/>
        </w:rPr>
      </w:pPr>
      <w:r>
        <w:rPr>
          <w:rFonts w:ascii="黑体" w:hAnsi="宋体" w:eastAsia="黑体"/>
          <w:color w:val="000000"/>
          <w:sz w:val="52"/>
        </w:rPr>
        <w:br w:type="page"/>
      </w:r>
      <w:r>
        <w:rPr>
          <w:rFonts w:hint="eastAsia" w:ascii="黑体" w:eastAsia="黑体"/>
          <w:b/>
          <w:sz w:val="30"/>
        </w:rPr>
        <w:t>第三章 技术要求</w:t>
      </w:r>
    </w:p>
    <w:p>
      <w:pPr>
        <w:outlineLvl w:val="2"/>
        <w:rPr>
          <w:rFonts w:ascii="黑体" w:eastAsia="黑体"/>
          <w:b/>
          <w:sz w:val="24"/>
        </w:rPr>
      </w:pPr>
      <w:r>
        <w:rPr>
          <w:rFonts w:hint="eastAsia" w:ascii="黑体" w:eastAsia="黑体"/>
          <w:b/>
          <w:sz w:val="24"/>
        </w:rPr>
        <w:t>一.脑白金套标</w:t>
      </w:r>
    </w:p>
    <w:p>
      <w:pPr>
        <w:pStyle w:val="195"/>
        <w:numPr>
          <w:ilvl w:val="0"/>
          <w:numId w:val="1"/>
        </w:numPr>
        <w:ind w:firstLineChars="0"/>
        <w:outlineLvl w:val="2"/>
        <w:rPr>
          <w:rFonts w:ascii="黑体" w:hAnsi="黑体" w:eastAsia="黑体"/>
          <w:b/>
          <w:sz w:val="24"/>
        </w:rPr>
      </w:pPr>
      <w:r>
        <w:rPr>
          <w:rFonts w:hint="eastAsia" w:ascii="黑体" w:eastAsia="黑体"/>
          <w:b/>
          <w:sz w:val="24"/>
        </w:rPr>
        <w:t>材质：PET</w:t>
      </w:r>
    </w:p>
    <w:p>
      <w:pPr>
        <w:pStyle w:val="195"/>
        <w:numPr>
          <w:ilvl w:val="0"/>
          <w:numId w:val="1"/>
        </w:numPr>
        <w:ind w:firstLineChars="0"/>
        <w:outlineLvl w:val="2"/>
        <w:rPr>
          <w:rFonts w:ascii="黑体" w:hAnsi="黑体" w:eastAsia="黑体"/>
          <w:b/>
          <w:sz w:val="24"/>
        </w:rPr>
      </w:pPr>
      <w:r>
        <w:rPr>
          <w:rFonts w:hint="eastAsia" w:ascii="黑体" w:eastAsia="黑体"/>
          <w:b/>
          <w:sz w:val="24"/>
        </w:rPr>
        <w:t>尺寸：</w:t>
      </w:r>
      <w:r>
        <w:rPr>
          <w:rFonts w:hint="eastAsia" w:ascii="黑体" w:hAnsi="黑体" w:eastAsia="黑体"/>
          <w:b/>
          <w:sz w:val="24"/>
        </w:rPr>
        <w:t>204*168*0.04mm，7色印刷（红、黄蓝+专兰072+银+两个白色），有撕裂线</w:t>
      </w:r>
    </w:p>
    <w:p>
      <w:pPr>
        <w:pStyle w:val="195"/>
        <w:numPr>
          <w:ilvl w:val="0"/>
          <w:numId w:val="1"/>
        </w:numPr>
        <w:ind w:firstLineChars="0"/>
        <w:outlineLvl w:val="2"/>
        <w:rPr>
          <w:rFonts w:ascii="黑体" w:eastAsia="黑体"/>
          <w:b/>
          <w:sz w:val="24"/>
        </w:rPr>
      </w:pPr>
      <w:r>
        <w:rPr>
          <w:rFonts w:hint="eastAsia" w:ascii="黑体" w:eastAsia="黑体"/>
          <w:b/>
          <w:sz w:val="24"/>
        </w:rPr>
        <w:t>使用</w:t>
      </w:r>
      <w:r>
        <w:rPr>
          <w:rFonts w:hint="eastAsia" w:ascii="黑体" w:hAnsi="黑体" w:eastAsia="黑体"/>
          <w:b/>
          <w:sz w:val="24"/>
        </w:rPr>
        <w:t>环保油墨，不掉色。</w:t>
      </w:r>
    </w:p>
    <w:p>
      <w:pPr>
        <w:pStyle w:val="195"/>
        <w:numPr>
          <w:ilvl w:val="0"/>
          <w:numId w:val="1"/>
        </w:numPr>
        <w:ind w:firstLineChars="0"/>
        <w:outlineLvl w:val="2"/>
        <w:rPr>
          <w:rFonts w:ascii="黑体" w:eastAsia="黑体"/>
          <w:b/>
          <w:sz w:val="24"/>
        </w:rPr>
      </w:pPr>
      <w:r>
        <w:rPr>
          <w:rFonts w:hint="eastAsia" w:ascii="黑体" w:eastAsia="黑体"/>
          <w:b/>
          <w:sz w:val="24"/>
        </w:rPr>
        <w:t>印刷：图案清晰，色度饱和，无重影、漏印，套色准确。</w:t>
      </w:r>
    </w:p>
    <w:p>
      <w:pPr>
        <w:pStyle w:val="195"/>
        <w:numPr>
          <w:ilvl w:val="0"/>
          <w:numId w:val="1"/>
        </w:numPr>
        <w:ind w:firstLineChars="0"/>
        <w:outlineLvl w:val="2"/>
        <w:rPr>
          <w:rFonts w:ascii="黑体" w:eastAsia="黑体"/>
          <w:b/>
          <w:sz w:val="24"/>
        </w:rPr>
      </w:pPr>
      <w:r>
        <w:rPr>
          <w:rFonts w:hint="eastAsia" w:ascii="黑体" w:eastAsia="黑体"/>
          <w:b/>
          <w:sz w:val="24"/>
        </w:rPr>
        <w:t>卷筒两端齐平，卷筒膜紧凑平整，版面清洁。接头处用红色胶带</w:t>
      </w:r>
    </w:p>
    <w:p>
      <w:pPr>
        <w:outlineLvl w:val="2"/>
        <w:rPr>
          <w:rFonts w:ascii="黑体" w:eastAsia="黑体"/>
          <w:b/>
          <w:sz w:val="24"/>
        </w:rPr>
      </w:pPr>
      <w:r>
        <w:rPr>
          <w:rFonts w:hint="eastAsia" w:ascii="黑体" w:eastAsia="黑体"/>
          <w:b/>
          <w:sz w:val="24"/>
        </w:rPr>
        <w:drawing>
          <wp:inline distT="0" distB="0" distL="0" distR="0">
            <wp:extent cx="5615940" cy="4234180"/>
            <wp:effectExtent l="19050" t="0" r="381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noChangeArrowheads="1"/>
                    </pic:cNvPicPr>
                  </pic:nvPicPr>
                  <pic:blipFill>
                    <a:blip r:embed="rId5" cstate="print"/>
                    <a:srcRect/>
                    <a:stretch>
                      <a:fillRect/>
                    </a:stretch>
                  </pic:blipFill>
                  <pic:spPr>
                    <a:xfrm>
                      <a:off x="0" y="0"/>
                      <a:ext cx="5615940" cy="4234305"/>
                    </a:xfrm>
                    <a:prstGeom prst="rect">
                      <a:avLst/>
                    </a:prstGeom>
                    <a:noFill/>
                    <a:ln w="9525">
                      <a:noFill/>
                      <a:miter lim="800000"/>
                      <a:headEnd/>
                      <a:tailEnd/>
                    </a:ln>
                  </pic:spPr>
                </pic:pic>
              </a:graphicData>
            </a:graphic>
          </wp:inline>
        </w:drawing>
      </w:r>
    </w:p>
    <w:p>
      <w:pPr>
        <w:outlineLvl w:val="2"/>
        <w:rPr>
          <w:rFonts w:ascii="黑体" w:eastAsia="黑体"/>
          <w:b/>
          <w:sz w:val="24"/>
        </w:rPr>
      </w:pPr>
    </w:p>
    <w:p>
      <w:pPr>
        <w:outlineLvl w:val="2"/>
        <w:rPr>
          <w:rFonts w:ascii="黑体" w:eastAsia="黑体"/>
          <w:b/>
          <w:sz w:val="24"/>
        </w:rPr>
      </w:pPr>
      <w:r>
        <w:rPr>
          <w:rFonts w:hint="eastAsia" w:ascii="黑体" w:eastAsia="黑体"/>
          <w:b/>
          <w:sz w:val="24"/>
        </w:rPr>
        <w:t>图案仅供参考</w:t>
      </w:r>
    </w:p>
    <w:p>
      <w:pPr>
        <w:outlineLvl w:val="2"/>
        <w:rPr>
          <w:rFonts w:ascii="黑体" w:eastAsia="黑体"/>
          <w:b/>
          <w:sz w:val="24"/>
        </w:rPr>
      </w:pPr>
    </w:p>
    <w:p>
      <w:pPr>
        <w:outlineLvl w:val="2"/>
        <w:rPr>
          <w:rFonts w:ascii="黑体" w:eastAsia="黑体"/>
          <w:b/>
          <w:sz w:val="24"/>
        </w:rPr>
      </w:pPr>
    </w:p>
    <w:p>
      <w:pPr>
        <w:outlineLvl w:val="2"/>
        <w:rPr>
          <w:rFonts w:ascii="黑体" w:eastAsia="黑体"/>
          <w:b/>
          <w:sz w:val="24"/>
        </w:rPr>
      </w:pPr>
    </w:p>
    <w:p>
      <w:pPr>
        <w:outlineLvl w:val="2"/>
        <w:rPr>
          <w:rFonts w:ascii="黑体" w:eastAsia="黑体"/>
          <w:b/>
          <w:sz w:val="24"/>
        </w:rPr>
      </w:pPr>
    </w:p>
    <w:p>
      <w:pPr>
        <w:outlineLvl w:val="2"/>
        <w:rPr>
          <w:rFonts w:ascii="黑体" w:eastAsia="黑体"/>
          <w:b/>
          <w:sz w:val="24"/>
        </w:rPr>
      </w:pPr>
    </w:p>
    <w:p>
      <w:pPr>
        <w:outlineLvl w:val="2"/>
        <w:rPr>
          <w:rFonts w:ascii="黑体" w:eastAsia="黑体"/>
          <w:b/>
          <w:sz w:val="24"/>
        </w:rPr>
      </w:pPr>
    </w:p>
    <w:p>
      <w:pPr>
        <w:outlineLvl w:val="2"/>
        <w:rPr>
          <w:rFonts w:ascii="黑体" w:eastAsia="黑体"/>
          <w:b/>
          <w:sz w:val="24"/>
        </w:rPr>
      </w:pPr>
    </w:p>
    <w:p>
      <w:pPr>
        <w:outlineLvl w:val="2"/>
        <w:rPr>
          <w:rFonts w:ascii="黑体" w:eastAsia="黑体"/>
          <w:b/>
          <w:sz w:val="24"/>
        </w:rPr>
      </w:pPr>
    </w:p>
    <w:p>
      <w:pPr>
        <w:outlineLvl w:val="2"/>
        <w:rPr>
          <w:rFonts w:ascii="黑体" w:eastAsia="黑体"/>
          <w:b/>
          <w:sz w:val="24"/>
        </w:rPr>
      </w:pPr>
    </w:p>
    <w:p>
      <w:pPr>
        <w:outlineLvl w:val="2"/>
        <w:rPr>
          <w:rFonts w:ascii="黑体" w:eastAsia="黑体"/>
          <w:b/>
          <w:sz w:val="24"/>
        </w:rPr>
      </w:pPr>
    </w:p>
    <w:p>
      <w:pPr>
        <w:outlineLvl w:val="2"/>
        <w:rPr>
          <w:rFonts w:ascii="黑体" w:eastAsia="黑体"/>
          <w:b/>
          <w:sz w:val="24"/>
        </w:rPr>
      </w:pPr>
    </w:p>
    <w:p>
      <w:pPr>
        <w:outlineLvl w:val="2"/>
        <w:rPr>
          <w:rFonts w:ascii="黑体" w:eastAsia="黑体"/>
          <w:b/>
          <w:sz w:val="24"/>
        </w:rPr>
      </w:pPr>
    </w:p>
    <w:p>
      <w:pPr>
        <w:outlineLvl w:val="2"/>
        <w:rPr>
          <w:rFonts w:ascii="黑体" w:eastAsia="黑体"/>
          <w:b/>
          <w:sz w:val="24"/>
        </w:rPr>
      </w:pPr>
    </w:p>
    <w:p>
      <w:pPr>
        <w:outlineLvl w:val="2"/>
        <w:rPr>
          <w:rFonts w:ascii="黑体" w:eastAsia="黑体"/>
          <w:b/>
          <w:sz w:val="24"/>
        </w:rPr>
      </w:pPr>
      <w:r>
        <w:rPr>
          <w:rFonts w:hint="eastAsia" w:ascii="黑体" w:eastAsia="黑体"/>
          <w:b/>
          <w:sz w:val="24"/>
        </w:rPr>
        <w:t>二、黄金搭档普装系列不干胶标签</w:t>
      </w:r>
    </w:p>
    <w:p>
      <w:pPr>
        <w:outlineLvl w:val="2"/>
        <w:rPr>
          <w:rFonts w:ascii="黑体" w:hAnsi="黑体" w:eastAsia="黑体"/>
          <w:b/>
          <w:sz w:val="24"/>
        </w:rPr>
      </w:pPr>
      <w:r>
        <w:rPr>
          <w:rFonts w:hint="eastAsia" w:ascii="黑体" w:eastAsia="黑体"/>
          <w:b/>
          <w:sz w:val="24"/>
        </w:rPr>
        <w:t>1材质：艾利铜版纸</w:t>
      </w:r>
    </w:p>
    <w:p>
      <w:pPr>
        <w:outlineLvl w:val="2"/>
        <w:rPr>
          <w:rFonts w:ascii="黑体" w:hAnsi="黑体" w:eastAsia="黑体"/>
          <w:b/>
          <w:sz w:val="24"/>
        </w:rPr>
      </w:pPr>
      <w:r>
        <w:rPr>
          <w:rFonts w:hint="eastAsia" w:ascii="黑体" w:eastAsia="黑体"/>
          <w:b/>
          <w:sz w:val="24"/>
        </w:rPr>
        <w:t>2.尺寸：</w:t>
      </w:r>
      <w:r>
        <w:rPr>
          <w:rFonts w:hint="eastAsia" w:ascii="黑体" w:hAnsi="黑体" w:eastAsia="黑体"/>
          <w:b/>
          <w:sz w:val="24"/>
        </w:rPr>
        <w:t>82*60mm</w:t>
      </w:r>
    </w:p>
    <w:p>
      <w:pPr>
        <w:outlineLvl w:val="2"/>
        <w:rPr>
          <w:rFonts w:ascii="黑体" w:eastAsia="黑体"/>
          <w:b/>
          <w:sz w:val="24"/>
        </w:rPr>
      </w:pPr>
      <w:r>
        <w:rPr>
          <w:rFonts w:hint="eastAsia" w:ascii="黑体" w:eastAsia="黑体"/>
          <w:b/>
          <w:sz w:val="24"/>
        </w:rPr>
        <w:t>3.使用</w:t>
      </w:r>
      <w:r>
        <w:rPr>
          <w:rFonts w:hint="eastAsia" w:ascii="黑体" w:hAnsi="黑体" w:eastAsia="黑体"/>
          <w:b/>
          <w:sz w:val="24"/>
        </w:rPr>
        <w:t>环保油墨</w:t>
      </w:r>
    </w:p>
    <w:p>
      <w:pPr>
        <w:outlineLvl w:val="2"/>
        <w:rPr>
          <w:rFonts w:ascii="黑体" w:eastAsia="黑体"/>
          <w:b/>
          <w:sz w:val="24"/>
        </w:rPr>
      </w:pPr>
      <w:r>
        <w:rPr>
          <w:rFonts w:hint="eastAsia" w:ascii="黑体" w:eastAsia="黑体"/>
          <w:b/>
          <w:sz w:val="24"/>
        </w:rPr>
        <w:t>4印刷：</w:t>
      </w:r>
      <w:r>
        <w:rPr>
          <w:rFonts w:hint="eastAsia" w:ascii="黑体" w:hAnsi="黑体" w:eastAsia="黑体"/>
          <w:b/>
          <w:sz w:val="24"/>
        </w:rPr>
        <w:t>6色印刷，</w:t>
      </w:r>
      <w:r>
        <w:rPr>
          <w:rFonts w:hint="eastAsia" w:ascii="黑体" w:eastAsia="黑体"/>
          <w:b/>
          <w:sz w:val="24"/>
        </w:rPr>
        <w:t>图案清晰，色度饱和，无重影、漏印，套色准确。</w:t>
      </w:r>
    </w:p>
    <w:p>
      <w:pPr>
        <w:outlineLvl w:val="2"/>
        <w:rPr>
          <w:rFonts w:ascii="黑体" w:eastAsia="黑体"/>
          <w:b/>
          <w:sz w:val="24"/>
        </w:rPr>
      </w:pPr>
      <w:r>
        <w:rPr>
          <w:rFonts w:hint="eastAsia" w:ascii="黑体" w:eastAsia="黑体"/>
          <w:b/>
          <w:sz w:val="24"/>
        </w:rPr>
        <w:t>5卷筒紧凑平整，需塑封。</w:t>
      </w:r>
    </w:p>
    <w:p>
      <w:pPr>
        <w:outlineLvl w:val="2"/>
        <w:rPr>
          <w:rFonts w:ascii="黑体" w:eastAsia="黑体"/>
          <w:b/>
          <w:sz w:val="24"/>
        </w:rPr>
      </w:pPr>
    </w:p>
    <w:p>
      <w:pPr>
        <w:outlineLvl w:val="2"/>
        <w:rPr>
          <w:rFonts w:ascii="黑体" w:eastAsia="黑体"/>
          <w:b/>
          <w:sz w:val="24"/>
        </w:rPr>
      </w:pPr>
    </w:p>
    <w:p>
      <w:pPr>
        <w:outlineLvl w:val="2"/>
        <w:rPr>
          <w:rFonts w:ascii="黑体" w:eastAsia="黑体"/>
          <w:b/>
          <w:sz w:val="24"/>
        </w:rPr>
      </w:pPr>
      <w:r>
        <w:rPr>
          <w:rFonts w:ascii="黑体" w:eastAsia="黑体"/>
          <w:b/>
          <w:sz w:val="24"/>
        </w:rPr>
        <w:drawing>
          <wp:inline distT="0" distB="0" distL="0" distR="0">
            <wp:extent cx="5615940" cy="3476625"/>
            <wp:effectExtent l="19050" t="0" r="3810" b="0"/>
            <wp:docPr id="3"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1"/>
                    <pic:cNvPicPr>
                      <a:picLocks noChangeAspect="1" noChangeArrowheads="1"/>
                    </pic:cNvPicPr>
                  </pic:nvPicPr>
                  <pic:blipFill>
                    <a:blip r:embed="rId6" cstate="print"/>
                    <a:srcRect/>
                    <a:stretch>
                      <a:fillRect/>
                    </a:stretch>
                  </pic:blipFill>
                  <pic:spPr>
                    <a:xfrm>
                      <a:off x="0" y="0"/>
                      <a:ext cx="5615940" cy="3477227"/>
                    </a:xfrm>
                    <a:prstGeom prst="rect">
                      <a:avLst/>
                    </a:prstGeom>
                    <a:noFill/>
                    <a:ln w="9525">
                      <a:noFill/>
                      <a:miter lim="800000"/>
                      <a:headEnd/>
                      <a:tailEnd/>
                    </a:ln>
                  </pic:spPr>
                </pic:pic>
              </a:graphicData>
            </a:graphic>
          </wp:inline>
        </w:drawing>
      </w:r>
    </w:p>
    <w:p>
      <w:pPr>
        <w:outlineLvl w:val="2"/>
        <w:rPr>
          <w:rFonts w:ascii="黑体" w:eastAsia="黑体"/>
          <w:b/>
          <w:sz w:val="24"/>
        </w:rPr>
      </w:pPr>
      <w:r>
        <w:rPr>
          <w:rFonts w:hint="eastAsia" w:ascii="黑体" w:eastAsia="黑体"/>
          <w:b/>
          <w:sz w:val="24"/>
        </w:rPr>
        <w:t>图案仅供参考</w:t>
      </w:r>
    </w:p>
    <w:p>
      <w:pPr>
        <w:outlineLvl w:val="2"/>
        <w:rPr>
          <w:rFonts w:ascii="黑体" w:eastAsia="黑体"/>
          <w:b/>
          <w:sz w:val="24"/>
        </w:rPr>
      </w:pPr>
    </w:p>
    <w:p>
      <w:pPr>
        <w:outlineLvl w:val="2"/>
        <w:rPr>
          <w:rFonts w:ascii="黑体" w:eastAsia="黑体"/>
          <w:b/>
          <w:sz w:val="24"/>
        </w:rPr>
      </w:pPr>
    </w:p>
    <w:p>
      <w:pPr>
        <w:outlineLvl w:val="2"/>
        <w:rPr>
          <w:rFonts w:ascii="黑体" w:eastAsia="黑体"/>
          <w:b/>
          <w:sz w:val="24"/>
        </w:rPr>
      </w:pPr>
    </w:p>
    <w:p>
      <w:pPr>
        <w:outlineLvl w:val="2"/>
        <w:rPr>
          <w:rFonts w:ascii="黑体" w:eastAsia="黑体"/>
          <w:b/>
          <w:sz w:val="24"/>
        </w:rPr>
      </w:pPr>
    </w:p>
    <w:p>
      <w:pPr>
        <w:outlineLvl w:val="2"/>
        <w:rPr>
          <w:rFonts w:ascii="黑体" w:eastAsia="黑体"/>
          <w:b/>
          <w:sz w:val="24"/>
        </w:rPr>
      </w:pPr>
    </w:p>
    <w:p>
      <w:pPr>
        <w:outlineLvl w:val="2"/>
        <w:rPr>
          <w:rFonts w:ascii="黑体" w:eastAsia="黑体"/>
          <w:b/>
          <w:sz w:val="24"/>
        </w:rPr>
      </w:pPr>
    </w:p>
    <w:p>
      <w:pPr>
        <w:outlineLvl w:val="2"/>
        <w:rPr>
          <w:rFonts w:ascii="黑体" w:eastAsia="黑体"/>
          <w:b/>
          <w:sz w:val="24"/>
        </w:rPr>
      </w:pPr>
    </w:p>
    <w:p>
      <w:pPr>
        <w:outlineLvl w:val="2"/>
        <w:rPr>
          <w:rFonts w:ascii="黑体" w:eastAsia="黑体"/>
          <w:b/>
          <w:sz w:val="24"/>
        </w:rPr>
      </w:pPr>
    </w:p>
    <w:p>
      <w:pPr>
        <w:outlineLvl w:val="2"/>
        <w:rPr>
          <w:rFonts w:ascii="黑体" w:eastAsia="黑体"/>
          <w:b/>
          <w:sz w:val="24"/>
        </w:rPr>
      </w:pPr>
    </w:p>
    <w:p>
      <w:pPr>
        <w:outlineLvl w:val="2"/>
        <w:rPr>
          <w:rFonts w:ascii="黑体" w:eastAsia="黑体"/>
          <w:b/>
          <w:sz w:val="24"/>
        </w:rPr>
      </w:pPr>
    </w:p>
    <w:p>
      <w:pPr>
        <w:outlineLvl w:val="2"/>
        <w:rPr>
          <w:rFonts w:ascii="黑体" w:eastAsia="黑体"/>
          <w:b/>
          <w:sz w:val="24"/>
        </w:rPr>
      </w:pPr>
    </w:p>
    <w:p>
      <w:pPr>
        <w:outlineLvl w:val="2"/>
        <w:rPr>
          <w:rFonts w:ascii="黑体" w:eastAsia="黑体"/>
          <w:b/>
          <w:sz w:val="24"/>
        </w:rPr>
      </w:pPr>
    </w:p>
    <w:p>
      <w:pPr>
        <w:outlineLvl w:val="2"/>
        <w:rPr>
          <w:rFonts w:ascii="黑体" w:eastAsia="黑体"/>
          <w:b/>
          <w:sz w:val="24"/>
        </w:rPr>
      </w:pPr>
    </w:p>
    <w:p>
      <w:pPr>
        <w:outlineLvl w:val="2"/>
        <w:rPr>
          <w:rFonts w:ascii="黑体" w:eastAsia="黑体"/>
          <w:b/>
          <w:sz w:val="24"/>
        </w:rPr>
      </w:pPr>
    </w:p>
    <w:p>
      <w:pPr>
        <w:outlineLvl w:val="2"/>
        <w:rPr>
          <w:rFonts w:ascii="黑体" w:eastAsia="黑体"/>
          <w:b/>
          <w:sz w:val="24"/>
        </w:rPr>
      </w:pPr>
    </w:p>
    <w:p>
      <w:pPr>
        <w:outlineLvl w:val="2"/>
        <w:rPr>
          <w:rFonts w:ascii="黑体" w:eastAsia="黑体"/>
          <w:b/>
          <w:sz w:val="24"/>
        </w:rPr>
      </w:pPr>
    </w:p>
    <w:p>
      <w:pPr>
        <w:outlineLvl w:val="2"/>
        <w:rPr>
          <w:rFonts w:ascii="黑体" w:eastAsia="黑体"/>
          <w:b/>
          <w:sz w:val="24"/>
        </w:rPr>
      </w:pPr>
    </w:p>
    <w:p>
      <w:pPr>
        <w:outlineLvl w:val="2"/>
        <w:rPr>
          <w:rFonts w:ascii="黑体" w:eastAsia="黑体"/>
          <w:b/>
          <w:sz w:val="24"/>
        </w:rPr>
      </w:pPr>
    </w:p>
    <w:p>
      <w:pPr>
        <w:outlineLvl w:val="2"/>
        <w:rPr>
          <w:rFonts w:ascii="黑体" w:eastAsia="黑体"/>
          <w:b/>
          <w:sz w:val="24"/>
        </w:rPr>
      </w:pPr>
    </w:p>
    <w:p>
      <w:pPr>
        <w:outlineLvl w:val="2"/>
        <w:rPr>
          <w:rFonts w:ascii="黑体" w:eastAsia="黑体"/>
          <w:b/>
          <w:sz w:val="24"/>
        </w:rPr>
      </w:pPr>
      <w:r>
        <w:rPr>
          <w:rFonts w:hint="eastAsia" w:ascii="黑体" w:eastAsia="黑体"/>
          <w:b/>
          <w:sz w:val="24"/>
        </w:rPr>
        <w:t>三、</w:t>
      </w:r>
      <w:r>
        <w:rPr>
          <w:rFonts w:hint="eastAsia" w:ascii="黑体" w:eastAsia="黑体"/>
          <w:b/>
          <w:sz w:val="24"/>
          <w:lang w:eastAsia="zh-CN"/>
        </w:rPr>
        <w:t>大保健</w:t>
      </w:r>
      <w:r>
        <w:rPr>
          <w:rFonts w:hint="eastAsia" w:ascii="黑体" w:eastAsia="黑体"/>
          <w:b/>
          <w:sz w:val="24"/>
        </w:rPr>
        <w:t>系列不干胶标签</w:t>
      </w:r>
    </w:p>
    <w:p>
      <w:pPr>
        <w:outlineLvl w:val="2"/>
        <w:rPr>
          <w:rFonts w:ascii="黑体" w:hAnsi="黑体" w:eastAsia="黑体"/>
          <w:b/>
          <w:sz w:val="24"/>
        </w:rPr>
      </w:pPr>
      <w:r>
        <w:rPr>
          <w:rFonts w:hint="eastAsia" w:ascii="黑体" w:eastAsia="黑体"/>
          <w:b/>
          <w:sz w:val="24"/>
        </w:rPr>
        <w:t>1材质：艾利铜版纸80g</w:t>
      </w:r>
    </w:p>
    <w:p>
      <w:pPr>
        <w:outlineLvl w:val="2"/>
        <w:rPr>
          <w:rFonts w:ascii="黑体" w:hAnsi="黑体" w:eastAsia="黑体"/>
          <w:b/>
          <w:sz w:val="24"/>
        </w:rPr>
      </w:pPr>
      <w:r>
        <w:rPr>
          <w:rFonts w:hint="eastAsia" w:ascii="黑体" w:eastAsia="黑体"/>
          <w:b/>
          <w:sz w:val="24"/>
        </w:rPr>
        <w:t>2.尺寸：</w:t>
      </w:r>
      <w:r>
        <w:rPr>
          <w:rFonts w:hint="eastAsia" w:ascii="黑体" w:hAnsi="黑体" w:eastAsia="黑体"/>
          <w:b/>
          <w:sz w:val="24"/>
        </w:rPr>
        <w:t>70*180mm</w:t>
      </w:r>
      <w:r>
        <w:rPr>
          <w:rFonts w:ascii="黑体" w:hAnsi="黑体" w:eastAsia="黑体"/>
          <w:b/>
          <w:sz w:val="24"/>
        </w:rPr>
        <w:t xml:space="preserve"> </w:t>
      </w:r>
    </w:p>
    <w:p>
      <w:pPr>
        <w:outlineLvl w:val="2"/>
        <w:rPr>
          <w:rFonts w:ascii="黑体" w:eastAsia="黑体"/>
          <w:b/>
          <w:sz w:val="24"/>
        </w:rPr>
      </w:pPr>
      <w:r>
        <w:rPr>
          <w:rFonts w:hint="eastAsia" w:ascii="黑体" w:eastAsia="黑体"/>
          <w:b/>
          <w:sz w:val="24"/>
        </w:rPr>
        <w:t>3.使用</w:t>
      </w:r>
      <w:r>
        <w:rPr>
          <w:rFonts w:hint="eastAsia" w:ascii="黑体" w:hAnsi="黑体" w:eastAsia="黑体"/>
          <w:b/>
          <w:sz w:val="24"/>
        </w:rPr>
        <w:t>环保油墨</w:t>
      </w:r>
    </w:p>
    <w:p>
      <w:pPr>
        <w:outlineLvl w:val="2"/>
        <w:rPr>
          <w:rFonts w:ascii="黑体" w:eastAsia="黑体"/>
          <w:b/>
          <w:sz w:val="24"/>
        </w:rPr>
      </w:pPr>
      <w:r>
        <w:rPr>
          <w:rFonts w:hint="eastAsia" w:ascii="黑体" w:eastAsia="黑体"/>
          <w:b/>
          <w:sz w:val="24"/>
        </w:rPr>
        <w:t>4印刷：</w:t>
      </w:r>
      <w:r>
        <w:rPr>
          <w:rFonts w:hint="eastAsia" w:ascii="黑体" w:hAnsi="黑体" w:eastAsia="黑体"/>
          <w:b/>
          <w:sz w:val="24"/>
        </w:rPr>
        <w:t>7色印刷，</w:t>
      </w:r>
      <w:r>
        <w:rPr>
          <w:rFonts w:hint="eastAsia" w:ascii="黑体" w:eastAsia="黑体"/>
          <w:b/>
          <w:sz w:val="24"/>
        </w:rPr>
        <w:t>图案清晰，色度饱和，无重影、漏印，套色准确。</w:t>
      </w:r>
    </w:p>
    <w:p>
      <w:pPr>
        <w:outlineLvl w:val="2"/>
        <w:rPr>
          <w:rFonts w:ascii="黑体" w:eastAsia="黑体"/>
          <w:b/>
          <w:sz w:val="24"/>
        </w:rPr>
      </w:pPr>
      <w:r>
        <w:rPr>
          <w:rFonts w:hint="eastAsia" w:ascii="黑体" w:eastAsia="黑体"/>
          <w:b/>
          <w:sz w:val="24"/>
        </w:rPr>
        <w:t>5卷筒紧凑平整，需塑封。</w:t>
      </w:r>
    </w:p>
    <w:p>
      <w:pPr>
        <w:outlineLvl w:val="2"/>
        <w:rPr>
          <w:rFonts w:ascii="黑体" w:eastAsia="黑体"/>
          <w:b/>
          <w:sz w:val="24"/>
        </w:rPr>
      </w:pPr>
      <w:r>
        <w:rPr>
          <w:rFonts w:ascii="黑体" w:eastAsia="黑体"/>
          <w:b/>
          <w:sz w:val="24"/>
        </w:rPr>
        <w:drawing>
          <wp:inline distT="0" distB="0" distL="0" distR="0">
            <wp:extent cx="5615940" cy="2601595"/>
            <wp:effectExtent l="19050" t="0" r="3810" b="0"/>
            <wp:docPr id="13" name="图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13"/>
                    <pic:cNvPicPr>
                      <a:picLocks noChangeAspect="1" noChangeArrowheads="1"/>
                    </pic:cNvPicPr>
                  </pic:nvPicPr>
                  <pic:blipFill>
                    <a:blip r:embed="rId7" cstate="print"/>
                    <a:srcRect/>
                    <a:stretch>
                      <a:fillRect/>
                    </a:stretch>
                  </pic:blipFill>
                  <pic:spPr>
                    <a:xfrm>
                      <a:off x="0" y="0"/>
                      <a:ext cx="5615940" cy="2602052"/>
                    </a:xfrm>
                    <a:prstGeom prst="rect">
                      <a:avLst/>
                    </a:prstGeom>
                    <a:noFill/>
                    <a:ln w="9525">
                      <a:noFill/>
                      <a:miter lim="800000"/>
                      <a:headEnd/>
                      <a:tailEnd/>
                    </a:ln>
                  </pic:spPr>
                </pic:pic>
              </a:graphicData>
            </a:graphic>
          </wp:inline>
        </w:drawing>
      </w:r>
    </w:p>
    <w:p>
      <w:pPr>
        <w:outlineLvl w:val="2"/>
        <w:rPr>
          <w:rFonts w:ascii="黑体" w:eastAsia="黑体"/>
          <w:b/>
          <w:sz w:val="24"/>
        </w:rPr>
      </w:pPr>
      <w:r>
        <w:rPr>
          <w:rFonts w:hint="eastAsia" w:ascii="黑体" w:eastAsia="黑体"/>
          <w:b/>
          <w:sz w:val="24"/>
        </w:rPr>
        <w:t>非卖品</w:t>
      </w:r>
    </w:p>
    <w:p>
      <w:pPr>
        <w:outlineLvl w:val="2"/>
        <w:rPr>
          <w:rFonts w:ascii="黑体" w:hAnsi="黑体" w:eastAsia="黑体"/>
          <w:b/>
          <w:sz w:val="24"/>
        </w:rPr>
      </w:pPr>
      <w:r>
        <w:rPr>
          <w:rFonts w:hint="eastAsia" w:ascii="黑体" w:eastAsia="黑体"/>
          <w:b/>
          <w:sz w:val="24"/>
        </w:rPr>
        <w:t>1材质：艾利铜版纸80g</w:t>
      </w:r>
    </w:p>
    <w:p>
      <w:pPr>
        <w:outlineLvl w:val="2"/>
        <w:rPr>
          <w:rFonts w:ascii="黑体" w:hAnsi="黑体" w:eastAsia="黑体"/>
          <w:b/>
          <w:sz w:val="24"/>
        </w:rPr>
      </w:pPr>
      <w:r>
        <w:rPr>
          <w:rFonts w:hint="eastAsia" w:ascii="黑体" w:eastAsia="黑体"/>
          <w:b/>
          <w:sz w:val="24"/>
        </w:rPr>
        <w:t>2.尺寸：145*55</w:t>
      </w:r>
      <w:r>
        <w:rPr>
          <w:rFonts w:hint="eastAsia" w:ascii="黑体" w:hAnsi="黑体" w:eastAsia="黑体"/>
          <w:b/>
          <w:sz w:val="24"/>
        </w:rPr>
        <w:t xml:space="preserve"> mm，</w:t>
      </w:r>
      <w:r>
        <w:rPr>
          <w:rFonts w:ascii="黑体" w:hAnsi="黑体" w:eastAsia="黑体"/>
          <w:b/>
          <w:sz w:val="24"/>
        </w:rPr>
        <w:t xml:space="preserve"> </w:t>
      </w:r>
    </w:p>
    <w:p>
      <w:pPr>
        <w:outlineLvl w:val="2"/>
        <w:rPr>
          <w:rFonts w:ascii="黑体" w:eastAsia="黑体"/>
          <w:b/>
          <w:sz w:val="24"/>
        </w:rPr>
      </w:pPr>
      <w:r>
        <w:rPr>
          <w:rFonts w:hint="eastAsia" w:ascii="黑体" w:eastAsia="黑体"/>
          <w:b/>
          <w:sz w:val="24"/>
        </w:rPr>
        <w:t>3.使用</w:t>
      </w:r>
      <w:r>
        <w:rPr>
          <w:rFonts w:hint="eastAsia" w:ascii="黑体" w:hAnsi="黑体" w:eastAsia="黑体"/>
          <w:b/>
          <w:sz w:val="24"/>
        </w:rPr>
        <w:t>环保油墨</w:t>
      </w:r>
    </w:p>
    <w:p>
      <w:pPr>
        <w:outlineLvl w:val="2"/>
        <w:rPr>
          <w:rFonts w:ascii="黑体" w:eastAsia="黑体"/>
          <w:b/>
          <w:sz w:val="24"/>
        </w:rPr>
      </w:pPr>
      <w:r>
        <w:rPr>
          <w:rFonts w:hint="eastAsia" w:ascii="黑体" w:eastAsia="黑体"/>
          <w:b/>
          <w:sz w:val="24"/>
        </w:rPr>
        <w:t>4印刷：</w:t>
      </w:r>
      <w:r>
        <w:rPr>
          <w:rFonts w:hint="eastAsia" w:ascii="黑体" w:hAnsi="黑体" w:eastAsia="黑体"/>
          <w:b/>
          <w:sz w:val="24"/>
        </w:rPr>
        <w:t>7色印刷，</w:t>
      </w:r>
      <w:r>
        <w:rPr>
          <w:rFonts w:hint="eastAsia" w:ascii="黑体" w:eastAsia="黑体"/>
          <w:b/>
          <w:sz w:val="24"/>
        </w:rPr>
        <w:t>图案清晰，色度饱和，无重影、漏印，套色准确。</w:t>
      </w:r>
    </w:p>
    <w:p>
      <w:pPr>
        <w:outlineLvl w:val="2"/>
        <w:rPr>
          <w:rFonts w:ascii="黑体" w:eastAsia="黑体"/>
          <w:b/>
          <w:sz w:val="24"/>
        </w:rPr>
      </w:pPr>
      <w:r>
        <w:rPr>
          <w:rFonts w:hint="eastAsia" w:ascii="黑体" w:eastAsia="黑体"/>
          <w:b/>
          <w:sz w:val="24"/>
        </w:rPr>
        <w:t>5卷筒紧凑平整，需塑封。</w:t>
      </w:r>
    </w:p>
    <w:p>
      <w:pPr>
        <w:outlineLvl w:val="2"/>
        <w:rPr>
          <w:rFonts w:ascii="黑体" w:eastAsia="黑体"/>
          <w:b/>
          <w:sz w:val="24"/>
        </w:rPr>
      </w:pPr>
    </w:p>
    <w:p>
      <w:pPr>
        <w:outlineLvl w:val="2"/>
        <w:rPr>
          <w:rFonts w:ascii="黑体" w:eastAsia="黑体"/>
          <w:b/>
          <w:sz w:val="24"/>
        </w:rPr>
      </w:pPr>
      <w:r>
        <w:rPr>
          <w:rFonts w:ascii="黑体" w:eastAsia="黑体"/>
          <w:b/>
          <w:sz w:val="24"/>
        </w:rPr>
        <w:drawing>
          <wp:inline distT="0" distB="0" distL="0" distR="0">
            <wp:extent cx="4448175" cy="1753870"/>
            <wp:effectExtent l="19050" t="0" r="9525" b="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noChangeArrowheads="1"/>
                    </pic:cNvPicPr>
                  </pic:nvPicPr>
                  <pic:blipFill>
                    <a:blip r:embed="rId8" cstate="print"/>
                    <a:srcRect/>
                    <a:stretch>
                      <a:fillRect/>
                    </a:stretch>
                  </pic:blipFill>
                  <pic:spPr>
                    <a:xfrm>
                      <a:off x="0" y="0"/>
                      <a:ext cx="4448175" cy="1754434"/>
                    </a:xfrm>
                    <a:prstGeom prst="rect">
                      <a:avLst/>
                    </a:prstGeom>
                    <a:noFill/>
                    <a:ln w="9525">
                      <a:noFill/>
                      <a:miter lim="800000"/>
                      <a:headEnd/>
                      <a:tailEnd/>
                    </a:ln>
                  </pic:spPr>
                </pic:pic>
              </a:graphicData>
            </a:graphic>
          </wp:inline>
        </w:drawing>
      </w:r>
    </w:p>
    <w:p>
      <w:pPr>
        <w:outlineLvl w:val="2"/>
        <w:rPr>
          <w:rFonts w:ascii="黑体" w:eastAsia="黑体"/>
          <w:b/>
          <w:sz w:val="24"/>
        </w:rPr>
      </w:pPr>
    </w:p>
    <w:p>
      <w:pPr>
        <w:outlineLvl w:val="2"/>
        <w:rPr>
          <w:rFonts w:ascii="黑体" w:eastAsia="黑体"/>
          <w:b/>
          <w:sz w:val="24"/>
        </w:rPr>
      </w:pPr>
    </w:p>
    <w:p>
      <w:pPr>
        <w:outlineLvl w:val="2"/>
        <w:rPr>
          <w:rFonts w:ascii="黑体" w:eastAsia="黑体"/>
          <w:b/>
          <w:sz w:val="24"/>
        </w:rPr>
      </w:pPr>
    </w:p>
    <w:p>
      <w:pPr>
        <w:outlineLvl w:val="2"/>
        <w:rPr>
          <w:rFonts w:ascii="黑体" w:eastAsia="黑体"/>
          <w:b/>
          <w:sz w:val="24"/>
        </w:rPr>
      </w:pPr>
    </w:p>
    <w:p>
      <w:pPr>
        <w:outlineLvl w:val="2"/>
        <w:rPr>
          <w:rFonts w:ascii="黑体" w:eastAsia="黑体"/>
          <w:b/>
          <w:sz w:val="24"/>
        </w:rPr>
      </w:pPr>
    </w:p>
    <w:p>
      <w:pPr>
        <w:outlineLvl w:val="2"/>
        <w:rPr>
          <w:rFonts w:ascii="黑体" w:eastAsia="黑体"/>
          <w:b/>
          <w:sz w:val="24"/>
        </w:rPr>
      </w:pPr>
    </w:p>
    <w:p>
      <w:pPr>
        <w:outlineLvl w:val="2"/>
        <w:rPr>
          <w:rFonts w:ascii="黑体" w:eastAsia="黑体"/>
          <w:b/>
          <w:sz w:val="24"/>
        </w:rPr>
      </w:pPr>
    </w:p>
    <w:p>
      <w:pPr>
        <w:outlineLvl w:val="2"/>
        <w:rPr>
          <w:rFonts w:ascii="黑体" w:eastAsia="黑体"/>
          <w:b/>
          <w:sz w:val="24"/>
        </w:rPr>
      </w:pPr>
    </w:p>
    <w:p>
      <w:pPr>
        <w:outlineLvl w:val="2"/>
        <w:rPr>
          <w:rFonts w:ascii="黑体" w:eastAsia="黑体"/>
          <w:b/>
          <w:sz w:val="24"/>
        </w:rPr>
      </w:pPr>
      <w:r>
        <w:rPr>
          <w:rFonts w:hint="eastAsia" w:ascii="黑体" w:eastAsia="黑体"/>
          <w:b/>
          <w:sz w:val="24"/>
        </w:rPr>
        <w:t>五、脑白金支装不干胶瓶贴</w:t>
      </w:r>
    </w:p>
    <w:p>
      <w:pPr>
        <w:outlineLvl w:val="2"/>
        <w:rPr>
          <w:rFonts w:ascii="黑体" w:hAnsi="黑体" w:eastAsia="黑体"/>
          <w:b/>
          <w:sz w:val="24"/>
        </w:rPr>
      </w:pPr>
      <w:r>
        <w:rPr>
          <w:rFonts w:hint="eastAsia" w:ascii="黑体" w:eastAsia="黑体"/>
          <w:b/>
          <w:sz w:val="24"/>
        </w:rPr>
        <w:t>1.材质：合成纸75μ</w:t>
      </w:r>
    </w:p>
    <w:p>
      <w:pPr>
        <w:outlineLvl w:val="2"/>
        <w:rPr>
          <w:rFonts w:ascii="黑体" w:hAnsi="黑体" w:eastAsia="黑体"/>
          <w:b/>
          <w:sz w:val="24"/>
        </w:rPr>
      </w:pPr>
      <w:r>
        <w:rPr>
          <w:rFonts w:hint="eastAsia" w:ascii="黑体" w:eastAsia="黑体"/>
          <w:b/>
          <w:sz w:val="24"/>
        </w:rPr>
        <w:t>2.尺寸：</w:t>
      </w:r>
      <w:r>
        <w:rPr>
          <w:rFonts w:hint="eastAsia" w:ascii="黑体" w:hAnsi="黑体" w:eastAsia="黑体"/>
          <w:b/>
          <w:sz w:val="24"/>
        </w:rPr>
        <w:t>61*90mm</w:t>
      </w:r>
    </w:p>
    <w:p>
      <w:pPr>
        <w:outlineLvl w:val="2"/>
        <w:rPr>
          <w:rFonts w:ascii="黑体" w:eastAsia="黑体"/>
          <w:b/>
          <w:sz w:val="24"/>
        </w:rPr>
      </w:pPr>
      <w:r>
        <w:rPr>
          <w:rFonts w:hint="eastAsia" w:ascii="黑体" w:eastAsia="黑体"/>
          <w:b/>
          <w:sz w:val="24"/>
        </w:rPr>
        <w:t>3.使用</w:t>
      </w:r>
      <w:r>
        <w:rPr>
          <w:rFonts w:hint="eastAsia" w:ascii="黑体" w:hAnsi="黑体" w:eastAsia="黑体"/>
          <w:b/>
          <w:sz w:val="24"/>
        </w:rPr>
        <w:t>环保油墨</w:t>
      </w:r>
    </w:p>
    <w:p>
      <w:pPr>
        <w:outlineLvl w:val="2"/>
        <w:rPr>
          <w:rFonts w:ascii="黑体" w:eastAsia="黑体"/>
          <w:b/>
          <w:sz w:val="24"/>
        </w:rPr>
      </w:pPr>
      <w:r>
        <w:rPr>
          <w:rFonts w:hint="eastAsia" w:ascii="黑体" w:eastAsia="黑体"/>
          <w:b/>
          <w:sz w:val="24"/>
        </w:rPr>
        <w:t>4印刷：</w:t>
      </w:r>
      <w:r>
        <w:rPr>
          <w:rFonts w:hint="eastAsia" w:ascii="黑体" w:hAnsi="黑体" w:eastAsia="黑体"/>
          <w:b/>
          <w:sz w:val="24"/>
        </w:rPr>
        <w:t>6色印刷，</w:t>
      </w:r>
      <w:r>
        <w:rPr>
          <w:rFonts w:hint="eastAsia" w:ascii="黑体" w:eastAsia="黑体"/>
          <w:b/>
          <w:sz w:val="24"/>
        </w:rPr>
        <w:t>图案清晰，色度饱和，无重影、漏印，套色准确。</w:t>
      </w:r>
    </w:p>
    <w:p>
      <w:pPr>
        <w:outlineLvl w:val="2"/>
        <w:rPr>
          <w:rFonts w:ascii="黑体" w:eastAsia="黑体"/>
          <w:b/>
          <w:sz w:val="24"/>
        </w:rPr>
      </w:pPr>
      <w:r>
        <w:rPr>
          <w:rFonts w:hint="eastAsia" w:ascii="黑体" w:eastAsia="黑体"/>
          <w:b/>
          <w:sz w:val="24"/>
        </w:rPr>
        <w:t>5卷筒紧凑平整，需塑封。</w:t>
      </w:r>
    </w:p>
    <w:p>
      <w:pPr>
        <w:outlineLvl w:val="2"/>
        <w:rPr>
          <w:rFonts w:ascii="黑体" w:eastAsia="黑体"/>
          <w:b/>
          <w:sz w:val="24"/>
        </w:rPr>
      </w:pPr>
    </w:p>
    <w:p>
      <w:pPr>
        <w:outlineLvl w:val="2"/>
        <w:rPr>
          <w:rFonts w:ascii="黑体" w:eastAsia="黑体"/>
          <w:b/>
          <w:sz w:val="24"/>
        </w:rPr>
      </w:pPr>
      <w:r>
        <w:rPr>
          <w:rFonts w:ascii="黑体" w:eastAsia="黑体"/>
          <w:b/>
          <w:sz w:val="24"/>
        </w:rPr>
        <w:drawing>
          <wp:inline distT="0" distB="0" distL="0" distR="0">
            <wp:extent cx="4467225" cy="3067050"/>
            <wp:effectExtent l="19050" t="0" r="9525" b="0"/>
            <wp:docPr id="16" name="图片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16"/>
                    <pic:cNvPicPr>
                      <a:picLocks noChangeAspect="1" noChangeArrowheads="1"/>
                    </pic:cNvPicPr>
                  </pic:nvPicPr>
                  <pic:blipFill>
                    <a:blip r:embed="rId9" cstate="print"/>
                    <a:srcRect/>
                    <a:stretch>
                      <a:fillRect/>
                    </a:stretch>
                  </pic:blipFill>
                  <pic:spPr>
                    <a:xfrm>
                      <a:off x="0" y="0"/>
                      <a:ext cx="4467225" cy="3067050"/>
                    </a:xfrm>
                    <a:prstGeom prst="rect">
                      <a:avLst/>
                    </a:prstGeom>
                    <a:noFill/>
                    <a:ln w="9525">
                      <a:noFill/>
                      <a:miter lim="800000"/>
                      <a:headEnd/>
                      <a:tailEnd/>
                    </a:ln>
                  </pic:spPr>
                </pic:pic>
              </a:graphicData>
            </a:graphic>
          </wp:inline>
        </w:drawing>
      </w:r>
    </w:p>
    <w:p>
      <w:pPr>
        <w:outlineLvl w:val="2"/>
        <w:rPr>
          <w:rFonts w:ascii="黑体" w:eastAsia="黑体"/>
          <w:b/>
          <w:sz w:val="24"/>
        </w:rPr>
      </w:pPr>
      <w:r>
        <w:rPr>
          <w:rFonts w:hint="eastAsia" w:ascii="黑体" w:eastAsia="黑体"/>
          <w:b/>
          <w:sz w:val="24"/>
        </w:rPr>
        <w:t>图案仅供参考</w:t>
      </w:r>
    </w:p>
    <w:p>
      <w:pPr>
        <w:widowControl/>
        <w:snapToGrid w:val="0"/>
        <w:jc w:val="left"/>
        <w:rPr>
          <w:rFonts w:hint="eastAsia" w:ascii="宋体" w:hAnsi="宋体"/>
          <w:b/>
          <w:sz w:val="24"/>
        </w:rPr>
      </w:pPr>
    </w:p>
    <w:p>
      <w:pPr>
        <w:widowControl/>
        <w:snapToGrid w:val="0"/>
        <w:jc w:val="left"/>
        <w:rPr>
          <w:rFonts w:hint="eastAsia" w:ascii="宋体" w:hAnsi="宋体"/>
          <w:b/>
          <w:sz w:val="24"/>
        </w:rPr>
      </w:pPr>
    </w:p>
    <w:p>
      <w:pPr>
        <w:widowControl/>
        <w:snapToGrid w:val="0"/>
        <w:jc w:val="left"/>
        <w:rPr>
          <w:rFonts w:hint="eastAsia" w:ascii="宋体" w:hAnsi="宋体"/>
          <w:b/>
          <w:sz w:val="24"/>
        </w:rPr>
      </w:pPr>
    </w:p>
    <w:p>
      <w:pPr>
        <w:widowControl/>
        <w:snapToGrid w:val="0"/>
        <w:jc w:val="left"/>
        <w:rPr>
          <w:rFonts w:hint="eastAsia" w:ascii="宋体" w:hAnsi="宋体"/>
          <w:b/>
          <w:sz w:val="24"/>
        </w:rPr>
      </w:pPr>
    </w:p>
    <w:p>
      <w:pPr>
        <w:widowControl/>
        <w:snapToGrid w:val="0"/>
        <w:jc w:val="left"/>
        <w:rPr>
          <w:rFonts w:hint="eastAsia" w:ascii="宋体" w:hAnsi="宋体"/>
          <w:b/>
          <w:sz w:val="24"/>
        </w:rPr>
      </w:pPr>
    </w:p>
    <w:p>
      <w:pPr>
        <w:widowControl/>
        <w:snapToGrid w:val="0"/>
        <w:jc w:val="left"/>
        <w:rPr>
          <w:rFonts w:hint="eastAsia" w:ascii="宋体" w:hAnsi="宋体"/>
          <w:b/>
          <w:sz w:val="24"/>
        </w:rPr>
      </w:pPr>
    </w:p>
    <w:p>
      <w:pPr>
        <w:widowControl/>
        <w:snapToGrid w:val="0"/>
        <w:jc w:val="left"/>
        <w:rPr>
          <w:rFonts w:hint="eastAsia" w:ascii="宋体" w:hAnsi="宋体"/>
          <w:b/>
          <w:sz w:val="24"/>
        </w:rPr>
      </w:pPr>
    </w:p>
    <w:p>
      <w:pPr>
        <w:widowControl/>
        <w:snapToGrid w:val="0"/>
        <w:jc w:val="left"/>
        <w:rPr>
          <w:rFonts w:hint="eastAsia" w:ascii="宋体" w:hAnsi="宋体"/>
          <w:b/>
          <w:sz w:val="24"/>
        </w:rPr>
      </w:pPr>
    </w:p>
    <w:p>
      <w:pPr>
        <w:widowControl/>
        <w:snapToGrid w:val="0"/>
        <w:jc w:val="left"/>
        <w:rPr>
          <w:rFonts w:hint="eastAsia" w:ascii="宋体" w:hAnsi="宋体"/>
          <w:b/>
          <w:sz w:val="24"/>
        </w:rPr>
      </w:pPr>
    </w:p>
    <w:p>
      <w:pPr>
        <w:widowControl/>
        <w:snapToGrid w:val="0"/>
        <w:jc w:val="left"/>
        <w:rPr>
          <w:rFonts w:hint="eastAsia" w:ascii="宋体" w:hAnsi="宋体"/>
          <w:b/>
          <w:sz w:val="24"/>
        </w:rPr>
      </w:pPr>
    </w:p>
    <w:p>
      <w:pPr>
        <w:widowControl/>
        <w:snapToGrid w:val="0"/>
        <w:jc w:val="left"/>
        <w:rPr>
          <w:rFonts w:hint="eastAsia" w:ascii="宋体" w:hAnsi="宋体"/>
          <w:b/>
          <w:sz w:val="24"/>
        </w:rPr>
      </w:pPr>
    </w:p>
    <w:p>
      <w:pPr>
        <w:widowControl/>
        <w:snapToGrid w:val="0"/>
        <w:jc w:val="left"/>
        <w:rPr>
          <w:rFonts w:hint="eastAsia" w:ascii="宋体" w:hAnsi="宋体"/>
          <w:b/>
          <w:sz w:val="24"/>
        </w:rPr>
      </w:pPr>
    </w:p>
    <w:p>
      <w:pPr>
        <w:widowControl/>
        <w:snapToGrid w:val="0"/>
        <w:jc w:val="left"/>
        <w:rPr>
          <w:rFonts w:hint="eastAsia" w:ascii="宋体" w:hAnsi="宋体"/>
          <w:b/>
          <w:sz w:val="24"/>
        </w:rPr>
      </w:pPr>
    </w:p>
    <w:p>
      <w:pPr>
        <w:widowControl/>
        <w:snapToGrid w:val="0"/>
        <w:jc w:val="left"/>
        <w:rPr>
          <w:rFonts w:hint="eastAsia" w:ascii="宋体" w:hAnsi="宋体"/>
          <w:b/>
          <w:sz w:val="24"/>
        </w:rPr>
      </w:pPr>
    </w:p>
    <w:p>
      <w:pPr>
        <w:widowControl/>
        <w:snapToGrid w:val="0"/>
        <w:jc w:val="left"/>
        <w:rPr>
          <w:rFonts w:hint="eastAsia" w:ascii="宋体" w:hAnsi="宋体"/>
          <w:b/>
          <w:sz w:val="24"/>
        </w:rPr>
      </w:pPr>
    </w:p>
    <w:p>
      <w:pPr>
        <w:widowControl/>
        <w:snapToGrid w:val="0"/>
        <w:jc w:val="left"/>
        <w:rPr>
          <w:rFonts w:hint="eastAsia" w:ascii="宋体" w:hAnsi="宋体"/>
          <w:b/>
          <w:sz w:val="24"/>
        </w:rPr>
      </w:pPr>
    </w:p>
    <w:p>
      <w:pPr>
        <w:widowControl/>
        <w:snapToGrid w:val="0"/>
        <w:jc w:val="left"/>
        <w:rPr>
          <w:rFonts w:hint="eastAsia" w:ascii="宋体" w:hAnsi="宋体"/>
          <w:b/>
          <w:sz w:val="24"/>
        </w:rPr>
      </w:pPr>
    </w:p>
    <w:p>
      <w:pPr>
        <w:widowControl/>
        <w:snapToGrid w:val="0"/>
        <w:jc w:val="left"/>
        <w:rPr>
          <w:rFonts w:hint="eastAsia" w:ascii="宋体" w:hAnsi="宋体"/>
          <w:b/>
          <w:sz w:val="24"/>
        </w:rPr>
      </w:pPr>
    </w:p>
    <w:p>
      <w:pPr>
        <w:widowControl/>
        <w:snapToGrid w:val="0"/>
        <w:jc w:val="left"/>
        <w:rPr>
          <w:rFonts w:hint="eastAsia" w:ascii="宋体" w:hAnsi="宋体"/>
          <w:b/>
          <w:sz w:val="24"/>
        </w:rPr>
      </w:pPr>
    </w:p>
    <w:p>
      <w:pPr>
        <w:widowControl/>
        <w:snapToGrid w:val="0"/>
        <w:jc w:val="left"/>
        <w:rPr>
          <w:rFonts w:hint="eastAsia" w:ascii="宋体" w:hAnsi="宋体"/>
          <w:b/>
          <w:sz w:val="24"/>
        </w:rPr>
      </w:pPr>
    </w:p>
    <w:p>
      <w:pPr>
        <w:widowControl/>
        <w:snapToGrid w:val="0"/>
        <w:jc w:val="left"/>
        <w:rPr>
          <w:rFonts w:hint="eastAsia" w:ascii="宋体" w:hAnsi="宋体"/>
          <w:b/>
          <w:sz w:val="24"/>
        </w:rPr>
      </w:pPr>
    </w:p>
    <w:p>
      <w:pPr>
        <w:widowControl/>
        <w:snapToGrid w:val="0"/>
        <w:jc w:val="left"/>
        <w:rPr>
          <w:rFonts w:hint="eastAsia" w:ascii="宋体" w:hAnsi="宋体"/>
          <w:b/>
          <w:sz w:val="24"/>
        </w:rPr>
      </w:pPr>
    </w:p>
    <w:p>
      <w:pPr>
        <w:widowControl/>
        <w:snapToGrid w:val="0"/>
        <w:jc w:val="left"/>
        <w:rPr>
          <w:rFonts w:ascii="宋体" w:hAnsi="宋体"/>
          <w:b/>
          <w:sz w:val="24"/>
        </w:rPr>
      </w:pPr>
      <w:r>
        <w:rPr>
          <w:rFonts w:hint="eastAsia" w:ascii="宋体" w:hAnsi="宋体"/>
          <w:b/>
          <w:sz w:val="24"/>
        </w:rPr>
        <w:t xml:space="preserve">附件1： </w:t>
      </w:r>
    </w:p>
    <w:p>
      <w:bookmarkStart w:id="148" w:name="_Toc98920284"/>
    </w:p>
    <w:p>
      <w:pPr>
        <w:jc w:val="center"/>
        <w:rPr>
          <w:rFonts w:ascii="黑体" w:eastAsia="黑体"/>
          <w:b/>
          <w:sz w:val="44"/>
          <w:szCs w:val="44"/>
        </w:rPr>
      </w:pPr>
      <w:r>
        <w:rPr>
          <w:rFonts w:hint="eastAsia" w:ascii="黑体" w:eastAsia="黑体"/>
          <w:b/>
          <w:sz w:val="44"/>
          <w:szCs w:val="44"/>
        </w:rPr>
        <w:t>投标承诺函</w:t>
      </w:r>
      <w:bookmarkEnd w:id="148"/>
    </w:p>
    <w:p>
      <w:pPr>
        <w:spacing w:line="360" w:lineRule="auto"/>
        <w:rPr>
          <w:rFonts w:ascii="宋体" w:hAnsi="宋体" w:cs="宋体"/>
          <w:kern w:val="0"/>
          <w:sz w:val="28"/>
          <w:szCs w:val="28"/>
        </w:rPr>
      </w:pPr>
      <w:r>
        <w:rPr>
          <w:rFonts w:hint="eastAsia" w:ascii="宋体" w:hAnsi="宋体" w:cs="宋体"/>
          <w:kern w:val="0"/>
          <w:sz w:val="28"/>
          <w:szCs w:val="28"/>
        </w:rPr>
        <w:t>无锡健特药业有限公司：</w:t>
      </w:r>
    </w:p>
    <w:p>
      <w:pPr>
        <w:spacing w:line="360" w:lineRule="auto"/>
        <w:ind w:firstLine="630" w:firstLineChars="225"/>
        <w:rPr>
          <w:rFonts w:ascii="宋体" w:hAnsi="宋体" w:cs="宋体"/>
          <w:kern w:val="0"/>
          <w:sz w:val="28"/>
          <w:szCs w:val="28"/>
        </w:rPr>
      </w:pPr>
      <w:r>
        <w:rPr>
          <w:rFonts w:hint="eastAsia" w:ascii="宋体" w:hAnsi="宋体" w:cs="宋体"/>
          <w:kern w:val="0"/>
          <w:sz w:val="28"/>
          <w:szCs w:val="28"/>
        </w:rPr>
        <w:t xml:space="preserve">我司研究了贵司招标文件，对贵司原辅包装材料采购招标项目我们愿意投标，且按照招标文件规定编制了投标文件，授权下述签名人 </w:t>
      </w:r>
      <w:r>
        <w:rPr>
          <w:rFonts w:hint="eastAsia" w:ascii="宋体" w:hAnsi="宋体" w:cs="宋体"/>
          <w:kern w:val="0"/>
          <w:sz w:val="28"/>
          <w:szCs w:val="28"/>
          <w:u w:val="single"/>
        </w:rPr>
        <w:t xml:space="preserve">               </w:t>
      </w:r>
      <w:r>
        <w:rPr>
          <w:rFonts w:hint="eastAsia" w:ascii="宋体" w:hAnsi="宋体" w:cs="宋体"/>
          <w:kern w:val="0"/>
          <w:sz w:val="28"/>
          <w:szCs w:val="28"/>
        </w:rPr>
        <w:t>代表我们提交投标文件的电子版。</w:t>
      </w:r>
    </w:p>
    <w:p>
      <w:pPr>
        <w:spacing w:line="360" w:lineRule="auto"/>
        <w:ind w:left="360"/>
        <w:jc w:val="left"/>
        <w:rPr>
          <w:rFonts w:ascii="宋体" w:hAnsi="宋体" w:cs="宋体"/>
          <w:kern w:val="0"/>
          <w:sz w:val="28"/>
          <w:szCs w:val="28"/>
        </w:rPr>
      </w:pPr>
      <w:r>
        <w:rPr>
          <w:rFonts w:hint="eastAsia" w:ascii="宋体" w:hAnsi="宋体" w:cs="宋体"/>
          <w:kern w:val="0"/>
          <w:sz w:val="28"/>
          <w:szCs w:val="28"/>
        </w:rPr>
        <w:t>签名人兹承诺下列各点：</w:t>
      </w:r>
    </w:p>
    <w:p>
      <w:pPr>
        <w:numPr>
          <w:ilvl w:val="0"/>
          <w:numId w:val="2"/>
        </w:numPr>
        <w:spacing w:line="360" w:lineRule="auto"/>
        <w:jc w:val="left"/>
        <w:rPr>
          <w:rFonts w:ascii="宋体" w:hAnsi="宋体" w:cs="宋体"/>
          <w:kern w:val="0"/>
          <w:sz w:val="28"/>
          <w:szCs w:val="28"/>
        </w:rPr>
      </w:pPr>
      <w:r>
        <w:rPr>
          <w:rFonts w:hint="eastAsia" w:ascii="宋体" w:hAnsi="宋体" w:cs="宋体"/>
          <w:kern w:val="0"/>
          <w:sz w:val="28"/>
          <w:szCs w:val="28"/>
        </w:rPr>
        <w:t>严格遵守《合同法》及履行其相关义务。</w:t>
      </w:r>
    </w:p>
    <w:p>
      <w:pPr>
        <w:numPr>
          <w:ilvl w:val="0"/>
          <w:numId w:val="2"/>
        </w:numPr>
        <w:spacing w:line="360" w:lineRule="auto"/>
        <w:jc w:val="left"/>
        <w:rPr>
          <w:rFonts w:ascii="宋体" w:hAnsi="宋体" w:cs="宋体"/>
          <w:kern w:val="0"/>
          <w:sz w:val="28"/>
          <w:szCs w:val="28"/>
        </w:rPr>
      </w:pPr>
      <w:r>
        <w:rPr>
          <w:rFonts w:hint="eastAsia" w:ascii="宋体" w:hAnsi="宋体" w:cs="宋体"/>
          <w:kern w:val="0"/>
          <w:sz w:val="28"/>
          <w:szCs w:val="28"/>
        </w:rPr>
        <w:t>投标文件内容真实可靠。</w:t>
      </w:r>
    </w:p>
    <w:p>
      <w:pPr>
        <w:numPr>
          <w:ilvl w:val="0"/>
          <w:numId w:val="2"/>
        </w:numPr>
        <w:spacing w:line="360" w:lineRule="auto"/>
        <w:jc w:val="left"/>
        <w:rPr>
          <w:rFonts w:ascii="宋体" w:hAnsi="宋体" w:cs="宋体"/>
          <w:kern w:val="0"/>
          <w:sz w:val="28"/>
          <w:szCs w:val="28"/>
        </w:rPr>
      </w:pPr>
      <w:r>
        <w:rPr>
          <w:rFonts w:hint="eastAsia" w:ascii="宋体" w:hAnsi="宋体" w:cs="宋体"/>
          <w:kern w:val="0"/>
          <w:sz w:val="28"/>
          <w:szCs w:val="28"/>
        </w:rPr>
        <w:t>同意提供招标人所需求的其他资料。</w:t>
      </w:r>
    </w:p>
    <w:p>
      <w:pPr>
        <w:numPr>
          <w:ilvl w:val="0"/>
          <w:numId w:val="2"/>
        </w:numPr>
        <w:spacing w:line="360" w:lineRule="auto"/>
        <w:jc w:val="left"/>
        <w:rPr>
          <w:rFonts w:ascii="宋体" w:hAnsi="宋体" w:cs="宋体"/>
          <w:kern w:val="0"/>
          <w:sz w:val="28"/>
          <w:szCs w:val="28"/>
        </w:rPr>
      </w:pPr>
      <w:r>
        <w:rPr>
          <w:rFonts w:hint="eastAsia" w:ascii="宋体" w:hAnsi="宋体" w:cs="宋体"/>
          <w:kern w:val="0"/>
          <w:sz w:val="28"/>
          <w:szCs w:val="28"/>
        </w:rPr>
        <w:t xml:space="preserve">一旦我方中标，我方保证按合同协议书和订单规定的期限交货。 </w:t>
      </w:r>
    </w:p>
    <w:p>
      <w:pPr>
        <w:spacing w:line="360" w:lineRule="auto"/>
        <w:ind w:left="360"/>
        <w:jc w:val="left"/>
        <w:rPr>
          <w:rFonts w:ascii="宋体" w:hAnsi="宋体" w:cs="宋体"/>
          <w:kern w:val="0"/>
          <w:sz w:val="28"/>
          <w:szCs w:val="28"/>
        </w:rPr>
      </w:pPr>
      <w:r>
        <w:rPr>
          <w:rFonts w:hint="eastAsia" w:ascii="宋体" w:hAnsi="宋体" w:cs="宋体"/>
          <w:kern w:val="0"/>
          <w:sz w:val="28"/>
          <w:szCs w:val="28"/>
        </w:rPr>
        <w:t xml:space="preserve">5、我方同意所提交的投标文件在招标文件的投标须知中规定的投标有效期内有效，在此期间内如果中标，我方将受此约束。 </w:t>
      </w:r>
    </w:p>
    <w:p>
      <w:pPr>
        <w:spacing w:line="360" w:lineRule="auto"/>
        <w:ind w:left="360"/>
        <w:jc w:val="left"/>
        <w:rPr>
          <w:rFonts w:ascii="宋体" w:hAnsi="宋体" w:cs="宋体"/>
          <w:kern w:val="0"/>
          <w:sz w:val="28"/>
          <w:szCs w:val="28"/>
        </w:rPr>
      </w:pPr>
      <w:r>
        <w:rPr>
          <w:rFonts w:hint="eastAsia" w:ascii="宋体" w:hAnsi="宋体" w:cs="宋体"/>
          <w:kern w:val="0"/>
          <w:sz w:val="28"/>
          <w:szCs w:val="28"/>
        </w:rPr>
        <w:t>6、除非另外达成协议并生效，你方的中标通知书和本投标文件将成为约束双方的合同文件的组成部分。</w:t>
      </w:r>
    </w:p>
    <w:p>
      <w:pPr>
        <w:spacing w:line="360" w:lineRule="auto"/>
        <w:ind w:left="360"/>
        <w:jc w:val="left"/>
        <w:rPr>
          <w:rFonts w:ascii="宋体" w:hAnsi="宋体" w:cs="宋体"/>
          <w:kern w:val="0"/>
          <w:sz w:val="28"/>
          <w:szCs w:val="28"/>
        </w:rPr>
      </w:pPr>
    </w:p>
    <w:p>
      <w:pPr>
        <w:spacing w:line="360" w:lineRule="auto"/>
        <w:ind w:left="360"/>
        <w:jc w:val="left"/>
        <w:rPr>
          <w:rFonts w:ascii="宋体" w:hAnsi="宋体" w:cs="宋体"/>
          <w:kern w:val="0"/>
          <w:sz w:val="28"/>
          <w:szCs w:val="28"/>
        </w:rPr>
      </w:pPr>
      <w:r>
        <w:rPr>
          <w:rFonts w:hint="eastAsia" w:ascii="宋体" w:hAnsi="宋体" w:cs="宋体"/>
          <w:kern w:val="0"/>
          <w:sz w:val="28"/>
          <w:szCs w:val="28"/>
        </w:rPr>
        <w:t xml:space="preserve">投标单位名称： </w:t>
      </w:r>
    </w:p>
    <w:p>
      <w:pPr>
        <w:spacing w:line="360" w:lineRule="auto"/>
        <w:ind w:left="360"/>
        <w:jc w:val="left"/>
        <w:rPr>
          <w:rFonts w:ascii="宋体" w:hAnsi="宋体" w:cs="宋体"/>
          <w:kern w:val="0"/>
          <w:sz w:val="28"/>
          <w:szCs w:val="28"/>
        </w:rPr>
      </w:pPr>
      <w:r>
        <w:rPr>
          <w:rFonts w:hint="eastAsia" w:ascii="宋体" w:hAnsi="宋体" w:cs="宋体"/>
          <w:kern w:val="0"/>
          <w:sz w:val="28"/>
          <w:szCs w:val="28"/>
        </w:rPr>
        <w:t xml:space="preserve">地址： </w:t>
      </w:r>
    </w:p>
    <w:p>
      <w:pPr>
        <w:spacing w:line="360" w:lineRule="auto"/>
        <w:ind w:left="360"/>
        <w:jc w:val="left"/>
        <w:rPr>
          <w:rFonts w:ascii="宋体" w:hAnsi="宋体" w:cs="宋体"/>
          <w:kern w:val="0"/>
          <w:sz w:val="28"/>
          <w:szCs w:val="28"/>
        </w:rPr>
      </w:pPr>
      <w:r>
        <w:rPr>
          <w:rFonts w:hint="eastAsia" w:ascii="宋体" w:hAnsi="宋体" w:cs="宋体"/>
          <w:kern w:val="0"/>
          <w:sz w:val="28"/>
          <w:szCs w:val="28"/>
        </w:rPr>
        <w:t>邮编：            传真：              电话：</w:t>
      </w:r>
    </w:p>
    <w:p>
      <w:pPr>
        <w:spacing w:line="360" w:lineRule="auto"/>
        <w:ind w:left="360"/>
        <w:jc w:val="left"/>
        <w:rPr>
          <w:rFonts w:ascii="宋体" w:hAnsi="宋体" w:cs="宋体"/>
          <w:kern w:val="0"/>
          <w:sz w:val="28"/>
          <w:szCs w:val="28"/>
        </w:rPr>
      </w:pPr>
      <w:r>
        <w:rPr>
          <w:rFonts w:hint="eastAsia" w:ascii="宋体" w:hAnsi="宋体" w:cs="宋体"/>
          <w:kern w:val="0"/>
          <w:sz w:val="28"/>
          <w:szCs w:val="28"/>
        </w:rPr>
        <w:t>法人代表（签字或盖章）：</w:t>
      </w:r>
    </w:p>
    <w:p>
      <w:pPr>
        <w:spacing w:line="360" w:lineRule="auto"/>
        <w:ind w:left="360"/>
        <w:jc w:val="left"/>
        <w:rPr>
          <w:rFonts w:ascii="宋体" w:hAnsi="宋体" w:cs="宋体"/>
          <w:kern w:val="0"/>
          <w:sz w:val="28"/>
          <w:szCs w:val="28"/>
        </w:rPr>
      </w:pPr>
      <w:r>
        <w:rPr>
          <w:rFonts w:hint="eastAsia" w:ascii="宋体" w:hAnsi="宋体" w:cs="宋体"/>
          <w:kern w:val="0"/>
          <w:sz w:val="28"/>
          <w:szCs w:val="28"/>
        </w:rPr>
        <w:t>授权代表姓名：                    联系方式：</w:t>
      </w:r>
    </w:p>
    <w:p>
      <w:pPr>
        <w:jc w:val="left"/>
        <w:outlineLvl w:val="1"/>
        <w:rPr>
          <w:rFonts w:ascii="宋体" w:hAnsi="宋体"/>
          <w:b/>
          <w:sz w:val="24"/>
        </w:rPr>
      </w:pPr>
      <w:bookmarkStart w:id="149" w:name="_Toc137103349"/>
      <w:bookmarkStart w:id="150" w:name="_Toc151054389"/>
      <w:bookmarkStart w:id="151" w:name="_Toc155763469"/>
      <w:bookmarkStart w:id="152" w:name="_Toc185233343"/>
      <w:bookmarkStart w:id="153" w:name="_Toc94175736"/>
      <w:bookmarkStart w:id="154" w:name="_Toc125451478"/>
      <w:bookmarkStart w:id="155" w:name="_Toc213127814"/>
      <w:r>
        <w:rPr>
          <w:rFonts w:ascii="仿宋" w:hAnsi="仿宋" w:eastAsia="仿宋"/>
          <w:b/>
          <w:sz w:val="24"/>
        </w:rPr>
        <w:br w:type="page"/>
      </w:r>
      <w:r>
        <w:rPr>
          <w:rFonts w:hint="eastAsia" w:ascii="宋体" w:hAnsi="宋体"/>
          <w:b/>
          <w:sz w:val="24"/>
        </w:rPr>
        <w:t xml:space="preserve">附件2: </w:t>
      </w:r>
    </w:p>
    <w:p>
      <w:pPr>
        <w:pStyle w:val="65"/>
        <w:jc w:val="center"/>
        <w:rPr>
          <w:b/>
          <w:sz w:val="44"/>
          <w:szCs w:val="44"/>
        </w:rPr>
      </w:pPr>
      <w:r>
        <w:rPr>
          <w:b/>
          <w:sz w:val="44"/>
          <w:szCs w:val="44"/>
        </w:rPr>
        <w:t>法人授权委托书</w:t>
      </w:r>
    </w:p>
    <w:p>
      <w:pPr>
        <w:pStyle w:val="65"/>
        <w:spacing w:line="360" w:lineRule="auto"/>
        <w:ind w:firstLine="480" w:firstLineChars="200"/>
        <w:rPr>
          <w:rFonts w:ascii="仿宋" w:hAnsi="仿宋" w:eastAsia="仿宋"/>
        </w:rPr>
      </w:pPr>
    </w:p>
    <w:p>
      <w:pPr>
        <w:pStyle w:val="65"/>
        <w:spacing w:line="360" w:lineRule="auto"/>
        <w:ind w:firstLine="560" w:firstLineChars="200"/>
        <w:rPr>
          <w:rFonts w:ascii="宋体" w:hAnsi="宋体"/>
          <w:sz w:val="28"/>
          <w:szCs w:val="28"/>
        </w:rPr>
      </w:pPr>
      <w:r>
        <w:rPr>
          <w:rFonts w:ascii="宋体" w:hAnsi="宋体"/>
          <w:sz w:val="28"/>
          <w:szCs w:val="28"/>
        </w:rPr>
        <w:t>兹授权委托</w:t>
      </w:r>
      <w:r>
        <w:rPr>
          <w:rFonts w:ascii="宋体" w:hAnsi="宋体"/>
          <w:sz w:val="28"/>
          <w:szCs w:val="28"/>
          <w:u w:val="single"/>
        </w:rPr>
        <w:t xml:space="preserve">    </w:t>
      </w:r>
      <w:r>
        <w:rPr>
          <w:rFonts w:hint="eastAsia" w:ascii="宋体" w:hAnsi="宋体"/>
          <w:sz w:val="28"/>
          <w:szCs w:val="28"/>
          <w:u w:val="single"/>
        </w:rPr>
        <w:t xml:space="preserve">      </w:t>
      </w:r>
      <w:r>
        <w:rPr>
          <w:rFonts w:ascii="宋体" w:hAnsi="宋体"/>
          <w:sz w:val="28"/>
          <w:szCs w:val="28"/>
          <w:u w:val="single"/>
        </w:rPr>
        <w:t> </w:t>
      </w:r>
      <w:r>
        <w:rPr>
          <w:rFonts w:hint="eastAsia" w:ascii="宋体" w:hAnsi="宋体"/>
          <w:sz w:val="28"/>
          <w:szCs w:val="28"/>
          <w:u w:val="single"/>
        </w:rPr>
        <w:t xml:space="preserve">  </w:t>
      </w:r>
      <w:r>
        <w:rPr>
          <w:rFonts w:ascii="宋体" w:hAnsi="宋体"/>
          <w:sz w:val="28"/>
          <w:szCs w:val="28"/>
        </w:rPr>
        <w:t>先生/女士，代表我方参加</w:t>
      </w:r>
      <w:r>
        <w:rPr>
          <w:rFonts w:hint="eastAsia" w:ascii="宋体" w:hAnsi="宋体"/>
          <w:sz w:val="28"/>
          <w:szCs w:val="28"/>
        </w:rPr>
        <w:t>无锡健特药业有限公司原辅包装材料采购</w:t>
      </w:r>
      <w:r>
        <w:rPr>
          <w:rFonts w:ascii="宋体" w:hAnsi="宋体"/>
          <w:sz w:val="28"/>
          <w:szCs w:val="28"/>
        </w:rPr>
        <w:t>投标工作，其权限是：代表我方参加</w:t>
      </w:r>
      <w:r>
        <w:rPr>
          <w:rFonts w:hint="eastAsia" w:ascii="宋体" w:hAnsi="宋体"/>
          <w:sz w:val="28"/>
          <w:szCs w:val="28"/>
        </w:rPr>
        <w:t>投标</w:t>
      </w:r>
      <w:r>
        <w:rPr>
          <w:rFonts w:ascii="宋体" w:hAnsi="宋体"/>
          <w:sz w:val="28"/>
          <w:szCs w:val="28"/>
        </w:rPr>
        <w:t>洽谈的所有过程，并签署所有的有关文件资料。</w:t>
      </w:r>
    </w:p>
    <w:p>
      <w:pPr>
        <w:widowControl/>
        <w:snapToGrid w:val="0"/>
        <w:spacing w:line="360" w:lineRule="auto"/>
        <w:ind w:firstLine="560" w:firstLineChars="200"/>
        <w:jc w:val="left"/>
        <w:rPr>
          <w:rFonts w:ascii="宋体" w:hAnsi="宋体" w:cs="宋体"/>
          <w:kern w:val="0"/>
          <w:sz w:val="28"/>
          <w:szCs w:val="28"/>
        </w:rPr>
      </w:pPr>
      <w:r>
        <w:rPr>
          <w:rFonts w:hint="eastAsia" w:ascii="宋体" w:hAnsi="宋体" w:cs="宋体"/>
          <w:kern w:val="0"/>
          <w:sz w:val="28"/>
          <w:szCs w:val="28"/>
        </w:rPr>
        <w:t>我公司对被授权人（授权代表）签署的所有文件、协议及合同负全部责任。</w:t>
      </w:r>
    </w:p>
    <w:p>
      <w:pPr>
        <w:widowControl/>
        <w:snapToGrid w:val="0"/>
        <w:spacing w:line="360" w:lineRule="auto"/>
        <w:ind w:firstLine="560" w:firstLineChars="200"/>
        <w:jc w:val="left"/>
        <w:rPr>
          <w:rFonts w:ascii="宋体" w:hAnsi="宋体"/>
          <w:sz w:val="28"/>
          <w:szCs w:val="28"/>
        </w:rPr>
      </w:pPr>
      <w:r>
        <w:rPr>
          <w:rFonts w:hint="eastAsia" w:ascii="宋体" w:hAnsi="宋体" w:cs="宋体"/>
          <w:kern w:val="0"/>
          <w:sz w:val="28"/>
          <w:szCs w:val="28"/>
        </w:rPr>
        <w:t>在招标人收到撤销本授权的通知以前，本授权书一直有效。被授权人签署的所有文件、协议和合同（在本授权书有效期内签署的）不因授权的撤销而失效。被授权人不得转授权。</w:t>
      </w:r>
      <w:r>
        <w:rPr>
          <w:rFonts w:ascii="宋体" w:hAnsi="宋体"/>
          <w:sz w:val="28"/>
          <w:szCs w:val="28"/>
        </w:rPr>
        <w:br w:type="textWrapping"/>
      </w:r>
    </w:p>
    <w:p>
      <w:pPr>
        <w:widowControl/>
        <w:snapToGrid w:val="0"/>
        <w:spacing w:line="360" w:lineRule="auto"/>
        <w:jc w:val="left"/>
        <w:rPr>
          <w:rFonts w:ascii="宋体" w:hAnsi="宋体" w:cs="宋体"/>
          <w:kern w:val="0"/>
          <w:sz w:val="28"/>
          <w:szCs w:val="28"/>
        </w:rPr>
      </w:pPr>
      <w:r>
        <w:rPr>
          <w:rFonts w:ascii="宋体" w:hAnsi="宋体" w:cs="宋体"/>
          <w:kern w:val="0"/>
          <w:sz w:val="28"/>
          <w:szCs w:val="28"/>
        </w:rPr>
        <w:t>本授权书</w:t>
      </w:r>
      <w:r>
        <w:rPr>
          <w:rFonts w:hint="eastAsia" w:ascii="宋体" w:hAnsi="宋体" w:cs="宋体"/>
          <w:kern w:val="0"/>
          <w:sz w:val="28"/>
          <w:szCs w:val="28"/>
        </w:rPr>
        <w:t>一经盖章立即</w:t>
      </w:r>
      <w:r>
        <w:rPr>
          <w:rFonts w:ascii="宋体" w:hAnsi="宋体" w:cs="宋体"/>
          <w:kern w:val="0"/>
          <w:sz w:val="28"/>
          <w:szCs w:val="28"/>
        </w:rPr>
        <w:t>生效，特此说明。</w:t>
      </w:r>
      <w:r>
        <w:rPr>
          <w:rFonts w:ascii="宋体" w:hAnsi="宋体" w:cs="宋体"/>
          <w:kern w:val="0"/>
          <w:sz w:val="28"/>
          <w:szCs w:val="28"/>
        </w:rPr>
        <w:br w:type="textWrapping"/>
      </w:r>
    </w:p>
    <w:p>
      <w:pPr>
        <w:pStyle w:val="65"/>
        <w:spacing w:line="360" w:lineRule="auto"/>
        <w:rPr>
          <w:rFonts w:ascii="宋体" w:hAnsi="宋体"/>
          <w:sz w:val="28"/>
          <w:szCs w:val="28"/>
        </w:rPr>
      </w:pPr>
      <w:r>
        <w:rPr>
          <w:rFonts w:ascii="宋体" w:hAnsi="宋体"/>
          <w:sz w:val="28"/>
          <w:szCs w:val="28"/>
        </w:rPr>
        <w:t>单位全称（盖章）：</w:t>
      </w:r>
      <w:r>
        <w:rPr>
          <w:rFonts w:ascii="宋体" w:hAnsi="宋体"/>
          <w:sz w:val="28"/>
          <w:szCs w:val="28"/>
        </w:rPr>
        <w:br w:type="textWrapping"/>
      </w:r>
      <w:r>
        <w:rPr>
          <w:rFonts w:ascii="宋体" w:hAnsi="宋体"/>
          <w:sz w:val="28"/>
          <w:szCs w:val="28"/>
        </w:rPr>
        <w:t>法定代表签字：</w:t>
      </w:r>
    </w:p>
    <w:p>
      <w:pPr>
        <w:pStyle w:val="65"/>
        <w:spacing w:line="360" w:lineRule="auto"/>
        <w:rPr>
          <w:rFonts w:ascii="宋体" w:hAnsi="宋体"/>
          <w:sz w:val="28"/>
          <w:szCs w:val="28"/>
        </w:rPr>
      </w:pPr>
      <w:r>
        <w:rPr>
          <w:rFonts w:ascii="宋体" w:hAnsi="宋体"/>
          <w:sz w:val="28"/>
          <w:szCs w:val="28"/>
        </w:rPr>
        <w:t> </w:t>
      </w:r>
    </w:p>
    <w:p>
      <w:pPr>
        <w:pStyle w:val="65"/>
        <w:spacing w:line="360" w:lineRule="auto"/>
        <w:rPr>
          <w:rFonts w:ascii="宋体" w:hAnsi="宋体"/>
          <w:sz w:val="28"/>
          <w:szCs w:val="28"/>
        </w:rPr>
      </w:pPr>
      <w:r>
        <w:rPr>
          <w:rFonts w:hint="eastAsia" w:ascii="宋体" w:hAnsi="宋体"/>
          <w:sz w:val="28"/>
          <w:szCs w:val="28"/>
        </w:rPr>
        <w:t>被授权人签字：</w:t>
      </w:r>
    </w:p>
    <w:p>
      <w:pPr>
        <w:pStyle w:val="65"/>
        <w:spacing w:line="360" w:lineRule="auto"/>
        <w:rPr>
          <w:rFonts w:ascii="宋体" w:hAnsi="宋体"/>
          <w:sz w:val="28"/>
          <w:szCs w:val="28"/>
        </w:rPr>
      </w:pPr>
      <w:r>
        <w:rPr>
          <w:rFonts w:ascii="宋体" w:hAnsi="宋体"/>
          <w:sz w:val="28"/>
          <w:szCs w:val="28"/>
        </w:rPr>
        <w:t>职务：</w:t>
      </w:r>
    </w:p>
    <w:p>
      <w:pPr>
        <w:pStyle w:val="65"/>
        <w:spacing w:line="360" w:lineRule="auto"/>
        <w:rPr>
          <w:rFonts w:ascii="宋体" w:hAnsi="宋体"/>
          <w:sz w:val="28"/>
          <w:szCs w:val="28"/>
        </w:rPr>
      </w:pPr>
      <w:r>
        <w:rPr>
          <w:rFonts w:ascii="宋体" w:hAnsi="宋体"/>
          <w:sz w:val="28"/>
          <w:szCs w:val="28"/>
        </w:rPr>
        <w:t>附</w:t>
      </w:r>
      <w:r>
        <w:rPr>
          <w:rFonts w:hint="eastAsia" w:ascii="宋体" w:hAnsi="宋体"/>
          <w:sz w:val="28"/>
          <w:szCs w:val="28"/>
        </w:rPr>
        <w:t>被授权人</w:t>
      </w:r>
      <w:r>
        <w:rPr>
          <w:rFonts w:ascii="宋体" w:hAnsi="宋体"/>
          <w:sz w:val="28"/>
          <w:szCs w:val="28"/>
        </w:rPr>
        <w:t>身份证件号：</w:t>
      </w:r>
    </w:p>
    <w:p>
      <w:pPr>
        <w:pStyle w:val="65"/>
        <w:spacing w:line="360" w:lineRule="auto"/>
        <w:rPr>
          <w:rFonts w:ascii="宋体" w:hAnsi="宋体"/>
          <w:sz w:val="28"/>
          <w:szCs w:val="28"/>
        </w:rPr>
      </w:pPr>
      <w:r>
        <w:rPr>
          <w:rFonts w:hint="eastAsia" w:ascii="宋体" w:hAnsi="宋体"/>
          <w:sz w:val="28"/>
          <w:szCs w:val="28"/>
          <w:u w:val="single"/>
        </w:rPr>
        <w:t xml:space="preserve">                                                               </w:t>
      </w:r>
      <w:r>
        <w:rPr>
          <w:rFonts w:hint="eastAsia" w:ascii="宋体" w:hAnsi="宋体"/>
          <w:sz w:val="28"/>
          <w:szCs w:val="28"/>
        </w:rPr>
        <w:t xml:space="preserve"> </w:t>
      </w:r>
      <w:r>
        <w:rPr>
          <w:rFonts w:ascii="宋体" w:hAnsi="宋体"/>
          <w:sz w:val="28"/>
          <w:szCs w:val="28"/>
        </w:rPr>
        <w:br w:type="textWrapping"/>
      </w:r>
      <w:bookmarkStart w:id="156" w:name="_Toc248809177"/>
      <w:bookmarkEnd w:id="156"/>
    </w:p>
    <w:p>
      <w:pPr>
        <w:pStyle w:val="65"/>
        <w:spacing w:line="360" w:lineRule="auto"/>
        <w:jc w:val="right"/>
        <w:rPr>
          <w:rFonts w:ascii="宋体" w:hAnsi="宋体"/>
          <w:sz w:val="28"/>
          <w:szCs w:val="28"/>
        </w:rPr>
      </w:pPr>
      <w:r>
        <w:rPr>
          <w:rFonts w:ascii="宋体" w:hAnsi="宋体"/>
          <w:sz w:val="28"/>
          <w:szCs w:val="28"/>
          <w:u w:val="single"/>
        </w:rPr>
        <w:t xml:space="preserve">     </w:t>
      </w:r>
      <w:r>
        <w:rPr>
          <w:rFonts w:ascii="宋体" w:hAnsi="宋体"/>
          <w:sz w:val="28"/>
          <w:szCs w:val="28"/>
        </w:rPr>
        <w:t>年</w:t>
      </w:r>
      <w:r>
        <w:rPr>
          <w:rFonts w:ascii="宋体" w:hAnsi="宋体"/>
          <w:sz w:val="28"/>
          <w:szCs w:val="28"/>
          <w:u w:val="single"/>
        </w:rPr>
        <w:t> </w:t>
      </w:r>
      <w:r>
        <w:rPr>
          <w:rFonts w:hint="eastAsia" w:ascii="宋体" w:hAnsi="宋体"/>
          <w:sz w:val="28"/>
          <w:szCs w:val="28"/>
          <w:u w:val="single"/>
        </w:rPr>
        <w:t xml:space="preserve">    </w:t>
      </w:r>
      <w:r>
        <w:rPr>
          <w:rFonts w:ascii="宋体" w:hAnsi="宋体"/>
          <w:sz w:val="28"/>
          <w:szCs w:val="28"/>
        </w:rPr>
        <w:t>月</w:t>
      </w:r>
      <w:r>
        <w:rPr>
          <w:rFonts w:ascii="宋体" w:hAnsi="宋体"/>
          <w:sz w:val="28"/>
          <w:szCs w:val="28"/>
          <w:u w:val="single"/>
        </w:rPr>
        <w:t> </w:t>
      </w:r>
      <w:r>
        <w:rPr>
          <w:rFonts w:hint="eastAsia" w:ascii="宋体" w:hAnsi="宋体"/>
          <w:sz w:val="28"/>
          <w:szCs w:val="28"/>
          <w:u w:val="single"/>
        </w:rPr>
        <w:t xml:space="preserve">  </w:t>
      </w:r>
      <w:r>
        <w:rPr>
          <w:rFonts w:ascii="宋体" w:hAnsi="宋体"/>
          <w:sz w:val="28"/>
          <w:szCs w:val="28"/>
          <w:u w:val="single"/>
        </w:rPr>
        <w:t xml:space="preserve"> </w:t>
      </w:r>
      <w:r>
        <w:rPr>
          <w:rFonts w:ascii="宋体" w:hAnsi="宋体"/>
          <w:sz w:val="28"/>
          <w:szCs w:val="28"/>
        </w:rPr>
        <w:t>日</w:t>
      </w:r>
    </w:p>
    <w:p>
      <w:pPr>
        <w:outlineLvl w:val="1"/>
        <w:rPr>
          <w:highlight w:val="yellow"/>
        </w:rPr>
      </w:pPr>
      <w:r>
        <w:rPr>
          <w:rFonts w:ascii="宋体" w:hAnsi="宋体"/>
          <w:b/>
          <w:sz w:val="24"/>
        </w:rPr>
        <w:br w:type="page"/>
      </w:r>
      <w:r>
        <w:rPr>
          <w:rFonts w:hint="eastAsia" w:ascii="宋体" w:hAnsi="宋体"/>
          <w:b/>
          <w:sz w:val="24"/>
        </w:rPr>
        <w:t>附件3：</w:t>
      </w:r>
      <w:bookmarkEnd w:id="149"/>
      <w:bookmarkEnd w:id="150"/>
      <w:bookmarkEnd w:id="151"/>
      <w:bookmarkEnd w:id="152"/>
      <w:bookmarkEnd w:id="153"/>
      <w:bookmarkEnd w:id="154"/>
      <w:bookmarkEnd w:id="155"/>
      <w:r>
        <w:rPr>
          <w:rFonts w:hint="eastAsia"/>
        </w:rPr>
        <w:t xml:space="preserve"> </w:t>
      </w:r>
    </w:p>
    <w:p>
      <w:pPr>
        <w:jc w:val="center"/>
        <w:rPr>
          <w:rFonts w:ascii="黑体" w:eastAsia="黑体"/>
          <w:b/>
          <w:sz w:val="44"/>
          <w:szCs w:val="44"/>
        </w:rPr>
      </w:pPr>
      <w:r>
        <w:rPr>
          <w:rFonts w:hint="eastAsia" w:ascii="黑体" w:eastAsia="黑体"/>
          <w:b/>
          <w:sz w:val="44"/>
          <w:szCs w:val="44"/>
        </w:rPr>
        <w:t>投标报价表</w:t>
      </w:r>
    </w:p>
    <w:p>
      <w:pPr>
        <w:rPr>
          <w:rFonts w:ascii="宋体"/>
          <w:sz w:val="28"/>
          <w:szCs w:val="28"/>
        </w:rPr>
      </w:pPr>
      <w:r>
        <w:rPr>
          <w:rFonts w:hint="eastAsia" w:ascii="宋体"/>
          <w:sz w:val="28"/>
          <w:szCs w:val="28"/>
        </w:rPr>
        <w:t xml:space="preserve">招标编号： </w:t>
      </w:r>
      <w:r>
        <w:rPr>
          <w:rFonts w:hint="eastAsia" w:ascii="宋体"/>
          <w:sz w:val="28"/>
          <w:szCs w:val="28"/>
          <w:u w:val="single"/>
        </w:rPr>
        <w:t xml:space="preserve">   JT-19009       </w:t>
      </w:r>
      <w:r>
        <w:rPr>
          <w:rFonts w:hint="eastAsia" w:ascii="宋体"/>
          <w:sz w:val="28"/>
          <w:szCs w:val="28"/>
        </w:rPr>
        <w:tab/>
      </w:r>
      <w:r>
        <w:rPr>
          <w:rFonts w:hint="eastAsia" w:ascii="宋体"/>
          <w:sz w:val="28"/>
          <w:szCs w:val="28"/>
        </w:rPr>
        <w:t xml:space="preserve">                    </w:t>
      </w:r>
    </w:p>
    <w:p>
      <w:pPr>
        <w:rPr>
          <w:rFonts w:ascii="宋体"/>
          <w:sz w:val="28"/>
          <w:szCs w:val="28"/>
          <w:u w:val="single"/>
        </w:rPr>
      </w:pPr>
      <w:r>
        <w:rPr>
          <w:rFonts w:hint="eastAsia" w:ascii="宋体"/>
          <w:sz w:val="28"/>
          <w:szCs w:val="28"/>
        </w:rPr>
        <w:t xml:space="preserve">招 标 方： </w:t>
      </w:r>
      <w:r>
        <w:rPr>
          <w:rFonts w:hint="eastAsia" w:ascii="宋体"/>
          <w:sz w:val="28"/>
          <w:szCs w:val="28"/>
          <w:u w:val="single"/>
        </w:rPr>
        <w:t xml:space="preserve">  无锡健特药业有限公司  </w:t>
      </w:r>
    </w:p>
    <w:p>
      <w:pPr>
        <w:rPr>
          <w:rFonts w:ascii="宋体"/>
          <w:sz w:val="28"/>
          <w:szCs w:val="28"/>
          <w:u w:val="single"/>
        </w:rPr>
      </w:pPr>
    </w:p>
    <w:tbl>
      <w:tblPr>
        <w:tblStyle w:val="71"/>
        <w:tblW w:w="10774" w:type="dxa"/>
        <w:tblInd w:w="-885" w:type="dxa"/>
        <w:tblLayout w:type="fixed"/>
        <w:tblCellMar>
          <w:top w:w="0" w:type="dxa"/>
          <w:left w:w="108" w:type="dxa"/>
          <w:bottom w:w="0" w:type="dxa"/>
          <w:right w:w="108" w:type="dxa"/>
        </w:tblCellMar>
      </w:tblPr>
      <w:tblGrid>
        <w:gridCol w:w="581"/>
        <w:gridCol w:w="1822"/>
        <w:gridCol w:w="1567"/>
        <w:gridCol w:w="1134"/>
        <w:gridCol w:w="1134"/>
        <w:gridCol w:w="1134"/>
        <w:gridCol w:w="851"/>
        <w:gridCol w:w="850"/>
        <w:gridCol w:w="851"/>
        <w:gridCol w:w="850"/>
      </w:tblGrid>
      <w:tr>
        <w:tblPrEx>
          <w:tblLayout w:type="fixed"/>
          <w:tblCellMar>
            <w:top w:w="0" w:type="dxa"/>
            <w:left w:w="108" w:type="dxa"/>
            <w:bottom w:w="0" w:type="dxa"/>
            <w:right w:w="108" w:type="dxa"/>
          </w:tblCellMar>
        </w:tblPrEx>
        <w:trPr>
          <w:trHeight w:val="539" w:hRule="atLeast"/>
        </w:trPr>
        <w:tc>
          <w:tcPr>
            <w:tcW w:w="581" w:type="dxa"/>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kern w:val="0"/>
                <w:sz w:val="22"/>
                <w:szCs w:val="22"/>
              </w:rPr>
            </w:pPr>
            <w:r>
              <w:rPr>
                <w:rFonts w:hint="eastAsia" w:ascii="宋体" w:hAnsi="宋体" w:cs="宋体"/>
                <w:kern w:val="0"/>
                <w:sz w:val="22"/>
                <w:szCs w:val="22"/>
              </w:rPr>
              <w:t>序号</w:t>
            </w:r>
          </w:p>
        </w:tc>
        <w:tc>
          <w:tcPr>
            <w:tcW w:w="1822" w:type="dxa"/>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kern w:val="0"/>
                <w:sz w:val="22"/>
                <w:szCs w:val="22"/>
              </w:rPr>
            </w:pPr>
            <w:r>
              <w:rPr>
                <w:rFonts w:hint="eastAsia" w:ascii="宋体" w:hAnsi="宋体" w:cs="宋体"/>
                <w:kern w:val="0"/>
                <w:sz w:val="22"/>
                <w:szCs w:val="22"/>
              </w:rPr>
              <w:t>标的物名称</w:t>
            </w:r>
          </w:p>
        </w:tc>
        <w:tc>
          <w:tcPr>
            <w:tcW w:w="1567"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2"/>
                <w:szCs w:val="22"/>
              </w:rPr>
            </w:pPr>
            <w:r>
              <w:rPr>
                <w:rFonts w:hint="eastAsia" w:ascii="宋体" w:hAnsi="宋体" w:cs="宋体"/>
                <w:kern w:val="0"/>
                <w:sz w:val="22"/>
                <w:szCs w:val="22"/>
              </w:rPr>
              <w:t>标的物单价</w:t>
            </w:r>
            <w:r>
              <w:rPr>
                <w:rFonts w:hint="eastAsia" w:ascii="宋体" w:hAnsi="宋体" w:cs="宋体"/>
                <w:kern w:val="0"/>
                <w:sz w:val="22"/>
                <w:szCs w:val="22"/>
              </w:rPr>
              <w:br w:type="textWrapping"/>
            </w:r>
            <w:r>
              <w:rPr>
                <w:rFonts w:hint="eastAsia" w:ascii="宋体" w:hAnsi="宋体" w:cs="宋体"/>
                <w:kern w:val="0"/>
                <w:sz w:val="22"/>
                <w:szCs w:val="22"/>
              </w:rPr>
              <w:t>（元）</w:t>
            </w:r>
          </w:p>
        </w:tc>
        <w:tc>
          <w:tcPr>
            <w:tcW w:w="6804" w:type="dxa"/>
            <w:gridSpan w:val="7"/>
            <w:tcBorders>
              <w:top w:val="single" w:color="auto" w:sz="4" w:space="0"/>
              <w:left w:val="nil"/>
              <w:bottom w:val="single" w:color="auto" w:sz="4" w:space="0"/>
              <w:right w:val="single" w:color="auto" w:sz="4" w:space="0"/>
            </w:tcBorders>
            <w:vAlign w:val="center"/>
          </w:tcPr>
          <w:p>
            <w:pPr>
              <w:widowControl/>
              <w:jc w:val="center"/>
              <w:rPr>
                <w:rFonts w:ascii="宋体" w:hAnsi="宋体" w:cs="宋体"/>
                <w:kern w:val="0"/>
                <w:sz w:val="22"/>
                <w:szCs w:val="22"/>
              </w:rPr>
            </w:pPr>
            <w:r>
              <w:rPr>
                <w:rFonts w:hint="eastAsia" w:ascii="宋体" w:hAnsi="宋体" w:cs="宋体"/>
                <w:kern w:val="0"/>
                <w:sz w:val="22"/>
                <w:szCs w:val="22"/>
              </w:rPr>
              <w:t>价格构成（元）</w:t>
            </w:r>
          </w:p>
        </w:tc>
      </w:tr>
      <w:tr>
        <w:tblPrEx>
          <w:tblLayout w:type="fixed"/>
          <w:tblCellMar>
            <w:top w:w="0" w:type="dxa"/>
            <w:left w:w="108" w:type="dxa"/>
            <w:bottom w:w="0" w:type="dxa"/>
            <w:right w:w="108" w:type="dxa"/>
          </w:tblCellMar>
        </w:tblPrEx>
        <w:trPr>
          <w:trHeight w:val="539" w:hRule="atLeast"/>
        </w:trPr>
        <w:tc>
          <w:tcPr>
            <w:tcW w:w="58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2"/>
                <w:szCs w:val="22"/>
              </w:rPr>
            </w:pPr>
          </w:p>
        </w:tc>
        <w:tc>
          <w:tcPr>
            <w:tcW w:w="182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2"/>
                <w:szCs w:val="22"/>
              </w:rPr>
            </w:pPr>
          </w:p>
        </w:tc>
        <w:tc>
          <w:tcPr>
            <w:tcW w:w="156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2"/>
                <w:szCs w:val="22"/>
              </w:rPr>
            </w:pPr>
          </w:p>
        </w:tc>
        <w:tc>
          <w:tcPr>
            <w:tcW w:w="1134" w:type="dxa"/>
            <w:tcBorders>
              <w:top w:val="nil"/>
              <w:left w:val="nil"/>
              <w:bottom w:val="single" w:color="auto" w:sz="4" w:space="0"/>
              <w:right w:val="single" w:color="auto" w:sz="4" w:space="0"/>
            </w:tcBorders>
            <w:shd w:val="clear" w:color="auto" w:fill="auto"/>
            <w:noWrap/>
            <w:vAlign w:val="center"/>
          </w:tcPr>
          <w:p>
            <w:pPr>
              <w:widowControl/>
              <w:rPr>
                <w:rFonts w:ascii="宋体" w:hAnsi="宋体" w:cs="宋体"/>
                <w:kern w:val="0"/>
                <w:sz w:val="22"/>
                <w:szCs w:val="22"/>
              </w:rPr>
            </w:pPr>
            <w:r>
              <w:rPr>
                <w:rFonts w:hint="eastAsia" w:ascii="宋体" w:hAnsi="宋体" w:cs="宋体"/>
                <w:kern w:val="0"/>
                <w:sz w:val="22"/>
                <w:szCs w:val="22"/>
              </w:rPr>
              <w:t>材料1</w:t>
            </w:r>
          </w:p>
          <w:p>
            <w:pPr>
              <w:widowControl/>
              <w:jc w:val="center"/>
              <w:rPr>
                <w:rFonts w:ascii="宋体" w:hAnsi="宋体" w:cs="宋体"/>
                <w:kern w:val="0"/>
                <w:sz w:val="22"/>
                <w:szCs w:val="22"/>
              </w:rPr>
            </w:pPr>
            <w:r>
              <w:rPr>
                <w:rFonts w:hint="eastAsia" w:ascii="宋体" w:hAnsi="宋体" w:cs="宋体"/>
                <w:kern w:val="0"/>
                <w:sz w:val="22"/>
                <w:szCs w:val="22"/>
              </w:rPr>
              <w:t>构成</w:t>
            </w:r>
          </w:p>
        </w:tc>
        <w:tc>
          <w:tcPr>
            <w:tcW w:w="1134" w:type="dxa"/>
            <w:tcBorders>
              <w:top w:val="single" w:color="auto" w:sz="4" w:space="0"/>
              <w:left w:val="nil"/>
              <w:bottom w:val="single" w:color="auto" w:sz="4" w:space="0"/>
              <w:right w:val="single" w:color="auto" w:sz="4" w:space="0"/>
            </w:tcBorders>
            <w:vAlign w:val="center"/>
          </w:tcPr>
          <w:p>
            <w:pPr>
              <w:widowControl/>
              <w:rPr>
                <w:rFonts w:ascii="宋体" w:hAnsi="宋体" w:cs="宋体"/>
                <w:kern w:val="0"/>
                <w:sz w:val="22"/>
                <w:szCs w:val="22"/>
              </w:rPr>
            </w:pPr>
            <w:r>
              <w:rPr>
                <w:rFonts w:hint="eastAsia" w:ascii="宋体" w:hAnsi="宋体" w:cs="宋体"/>
                <w:kern w:val="0"/>
                <w:sz w:val="22"/>
                <w:szCs w:val="22"/>
              </w:rPr>
              <w:t>材料2</w:t>
            </w:r>
          </w:p>
          <w:p>
            <w:pPr>
              <w:widowControl/>
              <w:rPr>
                <w:rFonts w:ascii="宋体" w:hAnsi="宋体" w:cs="宋体"/>
                <w:kern w:val="0"/>
                <w:sz w:val="22"/>
                <w:szCs w:val="22"/>
              </w:rPr>
            </w:pPr>
            <w:r>
              <w:rPr>
                <w:rFonts w:hint="eastAsia" w:ascii="宋体" w:hAnsi="宋体" w:cs="宋体"/>
                <w:kern w:val="0"/>
                <w:sz w:val="22"/>
                <w:szCs w:val="22"/>
              </w:rPr>
              <w:t>构成</w:t>
            </w:r>
          </w:p>
        </w:tc>
        <w:tc>
          <w:tcPr>
            <w:tcW w:w="1134"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kern w:val="0"/>
                <w:sz w:val="22"/>
                <w:szCs w:val="22"/>
              </w:rPr>
            </w:pPr>
            <w:r>
              <w:rPr>
                <w:rFonts w:hint="eastAsia" w:ascii="宋体" w:hAnsi="宋体" w:cs="宋体"/>
                <w:kern w:val="0"/>
                <w:sz w:val="22"/>
                <w:szCs w:val="22"/>
              </w:rPr>
              <w:t>材料3</w:t>
            </w:r>
          </w:p>
          <w:p>
            <w:pPr>
              <w:widowControl/>
              <w:jc w:val="center"/>
              <w:rPr>
                <w:rFonts w:ascii="宋体" w:hAnsi="宋体" w:cs="宋体"/>
                <w:kern w:val="0"/>
                <w:sz w:val="22"/>
                <w:szCs w:val="22"/>
              </w:rPr>
            </w:pPr>
            <w:r>
              <w:rPr>
                <w:rFonts w:hint="eastAsia" w:ascii="宋体" w:hAnsi="宋体" w:cs="宋体"/>
                <w:kern w:val="0"/>
                <w:sz w:val="22"/>
                <w:szCs w:val="22"/>
              </w:rPr>
              <w:t>构成</w:t>
            </w:r>
          </w:p>
        </w:tc>
        <w:tc>
          <w:tcPr>
            <w:tcW w:w="851"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kern w:val="0"/>
                <w:sz w:val="22"/>
                <w:szCs w:val="22"/>
              </w:rPr>
            </w:pPr>
            <w:r>
              <w:rPr>
                <w:rFonts w:hint="eastAsia" w:ascii="宋体" w:hAnsi="宋体" w:cs="宋体"/>
                <w:kern w:val="0"/>
                <w:sz w:val="22"/>
                <w:szCs w:val="22"/>
              </w:rPr>
              <w:t>人工构成</w:t>
            </w:r>
          </w:p>
        </w:tc>
        <w:tc>
          <w:tcPr>
            <w:tcW w:w="850"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kern w:val="0"/>
                <w:sz w:val="22"/>
                <w:szCs w:val="22"/>
              </w:rPr>
            </w:pPr>
            <w:r>
              <w:rPr>
                <w:rFonts w:hint="eastAsia" w:ascii="宋体" w:hAnsi="宋体" w:cs="宋体"/>
                <w:kern w:val="0"/>
                <w:sz w:val="22"/>
                <w:szCs w:val="22"/>
              </w:rPr>
              <w:t>运输构成</w:t>
            </w:r>
          </w:p>
        </w:tc>
        <w:tc>
          <w:tcPr>
            <w:tcW w:w="851"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22"/>
                <w:szCs w:val="22"/>
              </w:rPr>
            </w:pPr>
            <w:r>
              <w:rPr>
                <w:rFonts w:hint="eastAsia" w:ascii="宋体" w:hAnsi="宋体" w:cs="宋体"/>
                <w:kern w:val="0"/>
                <w:sz w:val="22"/>
                <w:szCs w:val="22"/>
              </w:rPr>
              <w:t>管理构成</w:t>
            </w:r>
          </w:p>
        </w:tc>
        <w:tc>
          <w:tcPr>
            <w:tcW w:w="85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22"/>
                <w:szCs w:val="22"/>
              </w:rPr>
            </w:pPr>
            <w:r>
              <w:rPr>
                <w:rFonts w:hint="eastAsia" w:ascii="宋体" w:hAnsi="宋体" w:cs="宋体"/>
                <w:kern w:val="0"/>
                <w:sz w:val="22"/>
                <w:szCs w:val="22"/>
              </w:rPr>
              <w:t>其他构成</w:t>
            </w:r>
          </w:p>
        </w:tc>
      </w:tr>
      <w:tr>
        <w:tblPrEx>
          <w:tblLayout w:type="fixed"/>
          <w:tblCellMar>
            <w:top w:w="0" w:type="dxa"/>
            <w:left w:w="108" w:type="dxa"/>
            <w:bottom w:w="0" w:type="dxa"/>
            <w:right w:w="108" w:type="dxa"/>
          </w:tblCellMar>
        </w:tblPrEx>
        <w:trPr>
          <w:trHeight w:val="539" w:hRule="atLeast"/>
        </w:trPr>
        <w:tc>
          <w:tcPr>
            <w:tcW w:w="581"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kern w:val="0"/>
                <w:sz w:val="22"/>
                <w:szCs w:val="22"/>
              </w:rPr>
            </w:pPr>
            <w:r>
              <w:rPr>
                <w:rFonts w:hint="eastAsia" w:ascii="宋体" w:hAnsi="宋体" w:cs="宋体"/>
                <w:kern w:val="0"/>
                <w:sz w:val="22"/>
                <w:szCs w:val="22"/>
              </w:rPr>
              <w:t>1</w:t>
            </w:r>
          </w:p>
        </w:tc>
        <w:tc>
          <w:tcPr>
            <w:tcW w:w="1822"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kern w:val="0"/>
                <w:sz w:val="22"/>
                <w:szCs w:val="22"/>
              </w:rPr>
            </w:pPr>
            <w:r>
              <w:rPr>
                <w:rFonts w:hint="eastAsia" w:ascii="宋体" w:hAnsi="宋体" w:cs="宋体"/>
                <w:kern w:val="0"/>
                <w:sz w:val="22"/>
                <w:szCs w:val="22"/>
              </w:rPr>
              <w:t>　脑白金套标</w:t>
            </w:r>
          </w:p>
        </w:tc>
        <w:tc>
          <w:tcPr>
            <w:tcW w:w="1567"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kern w:val="0"/>
                <w:sz w:val="22"/>
                <w:szCs w:val="22"/>
              </w:rPr>
            </w:pPr>
            <w:r>
              <w:rPr>
                <w:rFonts w:hint="eastAsia" w:ascii="宋体" w:hAnsi="宋体" w:cs="宋体"/>
                <w:kern w:val="0"/>
                <w:sz w:val="22"/>
                <w:szCs w:val="22"/>
              </w:rPr>
              <w:t>　</w:t>
            </w:r>
          </w:p>
        </w:tc>
        <w:tc>
          <w:tcPr>
            <w:tcW w:w="1134"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kern w:val="0"/>
                <w:sz w:val="22"/>
                <w:szCs w:val="22"/>
              </w:rPr>
            </w:pPr>
            <w:r>
              <w:rPr>
                <w:rFonts w:hint="eastAsia" w:ascii="宋体" w:hAnsi="宋体" w:cs="宋体"/>
                <w:kern w:val="0"/>
                <w:sz w:val="22"/>
                <w:szCs w:val="22"/>
              </w:rPr>
              <w:t>　</w:t>
            </w:r>
          </w:p>
        </w:tc>
        <w:tc>
          <w:tcPr>
            <w:tcW w:w="1134" w:type="dxa"/>
            <w:tcBorders>
              <w:top w:val="single" w:color="auto" w:sz="4" w:space="0"/>
              <w:left w:val="nil"/>
              <w:bottom w:val="single" w:color="auto" w:sz="4" w:space="0"/>
              <w:right w:val="single" w:color="auto" w:sz="4" w:space="0"/>
            </w:tcBorders>
          </w:tcPr>
          <w:p>
            <w:pPr>
              <w:widowControl/>
              <w:jc w:val="left"/>
              <w:rPr>
                <w:rFonts w:ascii="宋体" w:hAnsi="宋体" w:cs="宋体"/>
                <w:kern w:val="0"/>
                <w:sz w:val="22"/>
                <w:szCs w:val="22"/>
              </w:rPr>
            </w:pPr>
          </w:p>
        </w:tc>
        <w:tc>
          <w:tcPr>
            <w:tcW w:w="1134"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kern w:val="0"/>
                <w:sz w:val="22"/>
                <w:szCs w:val="22"/>
              </w:rPr>
            </w:pPr>
            <w:r>
              <w:rPr>
                <w:rFonts w:hint="eastAsia" w:ascii="宋体" w:hAnsi="宋体" w:cs="宋体"/>
                <w:kern w:val="0"/>
                <w:sz w:val="22"/>
                <w:szCs w:val="22"/>
              </w:rPr>
              <w:t>　</w:t>
            </w:r>
          </w:p>
        </w:tc>
        <w:tc>
          <w:tcPr>
            <w:tcW w:w="851" w:type="dxa"/>
            <w:tcBorders>
              <w:top w:val="single" w:color="auto" w:sz="4" w:space="0"/>
              <w:left w:val="nil"/>
              <w:bottom w:val="single" w:color="auto" w:sz="4" w:space="0"/>
              <w:right w:val="single" w:color="auto" w:sz="4" w:space="0"/>
            </w:tcBorders>
          </w:tcPr>
          <w:p>
            <w:pPr>
              <w:widowControl/>
              <w:jc w:val="left"/>
              <w:rPr>
                <w:rFonts w:ascii="宋体" w:hAnsi="宋体" w:cs="宋体"/>
                <w:kern w:val="0"/>
                <w:sz w:val="22"/>
                <w:szCs w:val="22"/>
              </w:rPr>
            </w:pPr>
          </w:p>
        </w:tc>
        <w:tc>
          <w:tcPr>
            <w:tcW w:w="850"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kern w:val="0"/>
                <w:sz w:val="22"/>
                <w:szCs w:val="22"/>
              </w:rPr>
            </w:pPr>
            <w:r>
              <w:rPr>
                <w:rFonts w:hint="eastAsia" w:ascii="宋体" w:hAnsi="宋体" w:cs="宋体"/>
                <w:kern w:val="0"/>
                <w:sz w:val="22"/>
                <w:szCs w:val="22"/>
              </w:rPr>
              <w:t>　</w:t>
            </w:r>
          </w:p>
        </w:tc>
        <w:tc>
          <w:tcPr>
            <w:tcW w:w="851"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kern w:val="0"/>
                <w:sz w:val="22"/>
                <w:szCs w:val="22"/>
              </w:rPr>
            </w:pPr>
            <w:r>
              <w:rPr>
                <w:rFonts w:hint="eastAsia" w:ascii="宋体" w:hAnsi="宋体" w:cs="宋体"/>
                <w:kern w:val="0"/>
                <w:sz w:val="22"/>
                <w:szCs w:val="22"/>
              </w:rPr>
              <w:t>　</w:t>
            </w:r>
          </w:p>
        </w:tc>
        <w:tc>
          <w:tcPr>
            <w:tcW w:w="85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kern w:val="0"/>
                <w:sz w:val="22"/>
                <w:szCs w:val="22"/>
              </w:rPr>
            </w:pPr>
            <w:r>
              <w:rPr>
                <w:rFonts w:hint="eastAsia" w:ascii="宋体" w:hAnsi="宋体" w:cs="宋体"/>
                <w:kern w:val="0"/>
                <w:sz w:val="22"/>
                <w:szCs w:val="22"/>
              </w:rPr>
              <w:t>　</w:t>
            </w:r>
          </w:p>
        </w:tc>
      </w:tr>
      <w:tr>
        <w:tblPrEx>
          <w:tblLayout w:type="fixed"/>
          <w:tblCellMar>
            <w:top w:w="0" w:type="dxa"/>
            <w:left w:w="108" w:type="dxa"/>
            <w:bottom w:w="0" w:type="dxa"/>
            <w:right w:w="108" w:type="dxa"/>
          </w:tblCellMar>
        </w:tblPrEx>
        <w:trPr>
          <w:trHeight w:val="539" w:hRule="atLeast"/>
        </w:trPr>
        <w:tc>
          <w:tcPr>
            <w:tcW w:w="581"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kern w:val="0"/>
                <w:sz w:val="22"/>
                <w:szCs w:val="22"/>
              </w:rPr>
            </w:pPr>
            <w:r>
              <w:rPr>
                <w:rFonts w:hint="eastAsia" w:ascii="宋体" w:hAnsi="宋体" w:cs="宋体"/>
                <w:kern w:val="0"/>
                <w:sz w:val="22"/>
                <w:szCs w:val="22"/>
              </w:rPr>
              <w:t>2</w:t>
            </w:r>
          </w:p>
        </w:tc>
        <w:tc>
          <w:tcPr>
            <w:tcW w:w="1822"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kern w:val="0"/>
                <w:sz w:val="22"/>
                <w:szCs w:val="22"/>
              </w:rPr>
            </w:pPr>
            <w:r>
              <w:rPr>
                <w:rFonts w:hint="eastAsia" w:ascii="宋体" w:hAnsi="宋体" w:cs="宋体"/>
                <w:kern w:val="0"/>
                <w:sz w:val="22"/>
                <w:szCs w:val="22"/>
              </w:rPr>
              <w:t>黄金搭档普装系列不干胶标签（正背标）</w:t>
            </w:r>
          </w:p>
        </w:tc>
        <w:tc>
          <w:tcPr>
            <w:tcW w:w="1567"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kern w:val="0"/>
                <w:sz w:val="22"/>
                <w:szCs w:val="22"/>
              </w:rPr>
            </w:pPr>
          </w:p>
        </w:tc>
        <w:tc>
          <w:tcPr>
            <w:tcW w:w="1134"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kern w:val="0"/>
                <w:sz w:val="22"/>
                <w:szCs w:val="22"/>
              </w:rPr>
            </w:pPr>
          </w:p>
        </w:tc>
        <w:tc>
          <w:tcPr>
            <w:tcW w:w="1134" w:type="dxa"/>
            <w:tcBorders>
              <w:top w:val="single" w:color="auto" w:sz="4" w:space="0"/>
              <w:left w:val="nil"/>
              <w:bottom w:val="single" w:color="auto" w:sz="4" w:space="0"/>
              <w:right w:val="single" w:color="auto" w:sz="4" w:space="0"/>
            </w:tcBorders>
          </w:tcPr>
          <w:p>
            <w:pPr>
              <w:widowControl/>
              <w:jc w:val="left"/>
              <w:rPr>
                <w:rFonts w:ascii="宋体" w:hAnsi="宋体" w:cs="宋体"/>
                <w:kern w:val="0"/>
                <w:sz w:val="22"/>
                <w:szCs w:val="22"/>
              </w:rPr>
            </w:pPr>
          </w:p>
        </w:tc>
        <w:tc>
          <w:tcPr>
            <w:tcW w:w="1134"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kern w:val="0"/>
                <w:sz w:val="22"/>
                <w:szCs w:val="22"/>
              </w:rPr>
            </w:pPr>
          </w:p>
        </w:tc>
        <w:tc>
          <w:tcPr>
            <w:tcW w:w="851" w:type="dxa"/>
            <w:tcBorders>
              <w:top w:val="single" w:color="auto" w:sz="4" w:space="0"/>
              <w:left w:val="nil"/>
              <w:bottom w:val="single" w:color="auto" w:sz="4" w:space="0"/>
              <w:right w:val="single" w:color="auto" w:sz="4" w:space="0"/>
            </w:tcBorders>
          </w:tcPr>
          <w:p>
            <w:pPr>
              <w:widowControl/>
              <w:jc w:val="left"/>
              <w:rPr>
                <w:rFonts w:ascii="宋体" w:hAnsi="宋体" w:cs="宋体"/>
                <w:kern w:val="0"/>
                <w:sz w:val="22"/>
                <w:szCs w:val="22"/>
              </w:rPr>
            </w:pPr>
          </w:p>
        </w:tc>
        <w:tc>
          <w:tcPr>
            <w:tcW w:w="850"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kern w:val="0"/>
                <w:sz w:val="22"/>
                <w:szCs w:val="22"/>
              </w:rPr>
            </w:pPr>
          </w:p>
        </w:tc>
        <w:tc>
          <w:tcPr>
            <w:tcW w:w="851"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kern w:val="0"/>
                <w:sz w:val="22"/>
                <w:szCs w:val="22"/>
              </w:rPr>
            </w:pPr>
          </w:p>
        </w:tc>
        <w:tc>
          <w:tcPr>
            <w:tcW w:w="85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kern w:val="0"/>
                <w:sz w:val="22"/>
                <w:szCs w:val="22"/>
              </w:rPr>
            </w:pPr>
          </w:p>
        </w:tc>
      </w:tr>
      <w:tr>
        <w:tblPrEx>
          <w:tblLayout w:type="fixed"/>
          <w:tblCellMar>
            <w:top w:w="0" w:type="dxa"/>
            <w:left w:w="108" w:type="dxa"/>
            <w:bottom w:w="0" w:type="dxa"/>
            <w:right w:w="108" w:type="dxa"/>
          </w:tblCellMar>
        </w:tblPrEx>
        <w:trPr>
          <w:trHeight w:val="539" w:hRule="atLeast"/>
        </w:trPr>
        <w:tc>
          <w:tcPr>
            <w:tcW w:w="581"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kern w:val="0"/>
                <w:sz w:val="22"/>
                <w:szCs w:val="22"/>
              </w:rPr>
            </w:pPr>
            <w:r>
              <w:rPr>
                <w:rFonts w:hint="eastAsia" w:ascii="宋体" w:hAnsi="宋体" w:cs="宋体"/>
                <w:kern w:val="0"/>
                <w:sz w:val="22"/>
                <w:szCs w:val="22"/>
              </w:rPr>
              <w:t>3</w:t>
            </w:r>
          </w:p>
        </w:tc>
        <w:tc>
          <w:tcPr>
            <w:tcW w:w="1822"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kern w:val="0"/>
                <w:sz w:val="22"/>
                <w:szCs w:val="22"/>
              </w:rPr>
            </w:pPr>
            <w:r>
              <w:rPr>
                <w:rFonts w:hint="eastAsia" w:ascii="宋体" w:hAnsi="宋体" w:cs="宋体"/>
                <w:kern w:val="0"/>
                <w:sz w:val="22"/>
                <w:szCs w:val="22"/>
              </w:rPr>
              <w:t>大保健系列不干胶标签</w:t>
            </w:r>
          </w:p>
        </w:tc>
        <w:tc>
          <w:tcPr>
            <w:tcW w:w="1567"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kern w:val="0"/>
                <w:sz w:val="22"/>
                <w:szCs w:val="22"/>
              </w:rPr>
            </w:pPr>
          </w:p>
        </w:tc>
        <w:tc>
          <w:tcPr>
            <w:tcW w:w="1134"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kern w:val="0"/>
                <w:sz w:val="22"/>
                <w:szCs w:val="22"/>
              </w:rPr>
            </w:pPr>
          </w:p>
        </w:tc>
        <w:tc>
          <w:tcPr>
            <w:tcW w:w="1134" w:type="dxa"/>
            <w:tcBorders>
              <w:top w:val="single" w:color="auto" w:sz="4" w:space="0"/>
              <w:left w:val="nil"/>
              <w:bottom w:val="single" w:color="auto" w:sz="4" w:space="0"/>
              <w:right w:val="single" w:color="auto" w:sz="4" w:space="0"/>
            </w:tcBorders>
          </w:tcPr>
          <w:p>
            <w:pPr>
              <w:widowControl/>
              <w:jc w:val="left"/>
              <w:rPr>
                <w:rFonts w:ascii="宋体" w:hAnsi="宋体" w:cs="宋体"/>
                <w:kern w:val="0"/>
                <w:sz w:val="22"/>
                <w:szCs w:val="22"/>
              </w:rPr>
            </w:pPr>
          </w:p>
        </w:tc>
        <w:tc>
          <w:tcPr>
            <w:tcW w:w="1134"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kern w:val="0"/>
                <w:sz w:val="22"/>
                <w:szCs w:val="22"/>
              </w:rPr>
            </w:pPr>
          </w:p>
        </w:tc>
        <w:tc>
          <w:tcPr>
            <w:tcW w:w="851" w:type="dxa"/>
            <w:tcBorders>
              <w:top w:val="single" w:color="auto" w:sz="4" w:space="0"/>
              <w:left w:val="nil"/>
              <w:bottom w:val="single" w:color="auto" w:sz="4" w:space="0"/>
              <w:right w:val="single" w:color="auto" w:sz="4" w:space="0"/>
            </w:tcBorders>
          </w:tcPr>
          <w:p>
            <w:pPr>
              <w:widowControl/>
              <w:jc w:val="left"/>
              <w:rPr>
                <w:rFonts w:ascii="宋体" w:hAnsi="宋体" w:cs="宋体"/>
                <w:kern w:val="0"/>
                <w:sz w:val="22"/>
                <w:szCs w:val="22"/>
              </w:rPr>
            </w:pPr>
          </w:p>
        </w:tc>
        <w:tc>
          <w:tcPr>
            <w:tcW w:w="850"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kern w:val="0"/>
                <w:sz w:val="22"/>
                <w:szCs w:val="22"/>
              </w:rPr>
            </w:pPr>
          </w:p>
        </w:tc>
        <w:tc>
          <w:tcPr>
            <w:tcW w:w="851"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kern w:val="0"/>
                <w:sz w:val="22"/>
                <w:szCs w:val="22"/>
              </w:rPr>
            </w:pPr>
          </w:p>
        </w:tc>
        <w:tc>
          <w:tcPr>
            <w:tcW w:w="85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kern w:val="0"/>
                <w:sz w:val="22"/>
                <w:szCs w:val="22"/>
              </w:rPr>
            </w:pPr>
          </w:p>
        </w:tc>
      </w:tr>
      <w:tr>
        <w:tblPrEx>
          <w:tblLayout w:type="fixed"/>
          <w:tblCellMar>
            <w:top w:w="0" w:type="dxa"/>
            <w:left w:w="108" w:type="dxa"/>
            <w:bottom w:w="0" w:type="dxa"/>
            <w:right w:w="108" w:type="dxa"/>
          </w:tblCellMar>
        </w:tblPrEx>
        <w:trPr>
          <w:trHeight w:val="539" w:hRule="atLeast"/>
        </w:trPr>
        <w:tc>
          <w:tcPr>
            <w:tcW w:w="581"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kern w:val="0"/>
                <w:sz w:val="22"/>
                <w:szCs w:val="22"/>
              </w:rPr>
            </w:pPr>
            <w:r>
              <w:rPr>
                <w:rFonts w:hint="eastAsia" w:ascii="宋体" w:hAnsi="宋体" w:cs="宋体"/>
                <w:kern w:val="0"/>
                <w:sz w:val="22"/>
                <w:szCs w:val="22"/>
              </w:rPr>
              <w:t>4</w:t>
            </w:r>
          </w:p>
        </w:tc>
        <w:tc>
          <w:tcPr>
            <w:tcW w:w="1822"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kern w:val="0"/>
                <w:sz w:val="22"/>
                <w:szCs w:val="22"/>
              </w:rPr>
            </w:pPr>
            <w:r>
              <w:rPr>
                <w:rFonts w:hint="eastAsia" w:ascii="宋体" w:hAnsi="宋体" w:cs="宋体"/>
                <w:kern w:val="0"/>
                <w:sz w:val="22"/>
                <w:szCs w:val="22"/>
              </w:rPr>
              <w:t>大保健非卖品干胶标签</w:t>
            </w:r>
          </w:p>
        </w:tc>
        <w:tc>
          <w:tcPr>
            <w:tcW w:w="1567"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kern w:val="0"/>
                <w:sz w:val="22"/>
                <w:szCs w:val="22"/>
              </w:rPr>
            </w:pPr>
            <w:r>
              <w:rPr>
                <w:rFonts w:hint="eastAsia" w:ascii="宋体" w:hAnsi="宋体" w:cs="宋体"/>
                <w:kern w:val="0"/>
                <w:sz w:val="22"/>
                <w:szCs w:val="22"/>
              </w:rPr>
              <w:t>　</w:t>
            </w:r>
          </w:p>
        </w:tc>
        <w:tc>
          <w:tcPr>
            <w:tcW w:w="1134"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kern w:val="0"/>
                <w:sz w:val="22"/>
                <w:szCs w:val="22"/>
              </w:rPr>
            </w:pPr>
            <w:r>
              <w:rPr>
                <w:rFonts w:hint="eastAsia" w:ascii="宋体" w:hAnsi="宋体" w:cs="宋体"/>
                <w:kern w:val="0"/>
                <w:sz w:val="22"/>
                <w:szCs w:val="22"/>
              </w:rPr>
              <w:t>　</w:t>
            </w:r>
          </w:p>
        </w:tc>
        <w:tc>
          <w:tcPr>
            <w:tcW w:w="1134" w:type="dxa"/>
            <w:tcBorders>
              <w:top w:val="single" w:color="auto" w:sz="4" w:space="0"/>
              <w:left w:val="nil"/>
              <w:bottom w:val="single" w:color="auto" w:sz="4" w:space="0"/>
              <w:right w:val="single" w:color="auto" w:sz="4" w:space="0"/>
            </w:tcBorders>
          </w:tcPr>
          <w:p>
            <w:pPr>
              <w:widowControl/>
              <w:jc w:val="left"/>
              <w:rPr>
                <w:rFonts w:ascii="宋体" w:hAnsi="宋体" w:cs="宋体"/>
                <w:kern w:val="0"/>
                <w:sz w:val="22"/>
                <w:szCs w:val="22"/>
              </w:rPr>
            </w:pPr>
          </w:p>
        </w:tc>
        <w:tc>
          <w:tcPr>
            <w:tcW w:w="1134"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kern w:val="0"/>
                <w:sz w:val="22"/>
                <w:szCs w:val="22"/>
              </w:rPr>
            </w:pPr>
            <w:r>
              <w:rPr>
                <w:rFonts w:hint="eastAsia" w:ascii="宋体" w:hAnsi="宋体" w:cs="宋体"/>
                <w:kern w:val="0"/>
                <w:sz w:val="22"/>
                <w:szCs w:val="22"/>
              </w:rPr>
              <w:t>　</w:t>
            </w:r>
          </w:p>
        </w:tc>
        <w:tc>
          <w:tcPr>
            <w:tcW w:w="851" w:type="dxa"/>
            <w:tcBorders>
              <w:top w:val="single" w:color="auto" w:sz="4" w:space="0"/>
              <w:left w:val="nil"/>
              <w:bottom w:val="single" w:color="auto" w:sz="4" w:space="0"/>
              <w:right w:val="single" w:color="auto" w:sz="4" w:space="0"/>
            </w:tcBorders>
          </w:tcPr>
          <w:p>
            <w:pPr>
              <w:widowControl/>
              <w:jc w:val="left"/>
              <w:rPr>
                <w:rFonts w:ascii="宋体" w:hAnsi="宋体" w:cs="宋体"/>
                <w:kern w:val="0"/>
                <w:sz w:val="22"/>
                <w:szCs w:val="22"/>
              </w:rPr>
            </w:pPr>
          </w:p>
        </w:tc>
        <w:tc>
          <w:tcPr>
            <w:tcW w:w="850"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kern w:val="0"/>
                <w:sz w:val="22"/>
                <w:szCs w:val="22"/>
              </w:rPr>
            </w:pPr>
            <w:r>
              <w:rPr>
                <w:rFonts w:hint="eastAsia" w:ascii="宋体" w:hAnsi="宋体" w:cs="宋体"/>
                <w:kern w:val="0"/>
                <w:sz w:val="22"/>
                <w:szCs w:val="22"/>
              </w:rPr>
              <w:t>　</w:t>
            </w:r>
          </w:p>
        </w:tc>
        <w:tc>
          <w:tcPr>
            <w:tcW w:w="851"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kern w:val="0"/>
                <w:sz w:val="22"/>
                <w:szCs w:val="22"/>
              </w:rPr>
            </w:pPr>
            <w:r>
              <w:rPr>
                <w:rFonts w:hint="eastAsia" w:ascii="宋体" w:hAnsi="宋体" w:cs="宋体"/>
                <w:kern w:val="0"/>
                <w:sz w:val="22"/>
                <w:szCs w:val="22"/>
              </w:rPr>
              <w:t>　</w:t>
            </w:r>
          </w:p>
        </w:tc>
        <w:tc>
          <w:tcPr>
            <w:tcW w:w="85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kern w:val="0"/>
                <w:sz w:val="22"/>
                <w:szCs w:val="22"/>
              </w:rPr>
            </w:pPr>
            <w:r>
              <w:rPr>
                <w:rFonts w:hint="eastAsia" w:ascii="宋体" w:hAnsi="宋体" w:cs="宋体"/>
                <w:kern w:val="0"/>
                <w:sz w:val="22"/>
                <w:szCs w:val="22"/>
              </w:rPr>
              <w:t>　</w:t>
            </w:r>
          </w:p>
        </w:tc>
      </w:tr>
      <w:tr>
        <w:tblPrEx>
          <w:tblLayout w:type="fixed"/>
          <w:tblCellMar>
            <w:top w:w="0" w:type="dxa"/>
            <w:left w:w="108" w:type="dxa"/>
            <w:bottom w:w="0" w:type="dxa"/>
            <w:right w:w="108" w:type="dxa"/>
          </w:tblCellMar>
        </w:tblPrEx>
        <w:trPr>
          <w:trHeight w:val="539" w:hRule="atLeast"/>
        </w:trPr>
        <w:tc>
          <w:tcPr>
            <w:tcW w:w="581"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kern w:val="0"/>
                <w:sz w:val="22"/>
                <w:szCs w:val="22"/>
              </w:rPr>
            </w:pPr>
            <w:r>
              <w:rPr>
                <w:rFonts w:hint="eastAsia" w:ascii="宋体" w:hAnsi="宋体" w:cs="宋体"/>
                <w:kern w:val="0"/>
                <w:sz w:val="22"/>
                <w:szCs w:val="22"/>
              </w:rPr>
              <w:t>5</w:t>
            </w:r>
          </w:p>
        </w:tc>
        <w:tc>
          <w:tcPr>
            <w:tcW w:w="1822"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kern w:val="0"/>
                <w:sz w:val="22"/>
                <w:szCs w:val="22"/>
              </w:rPr>
            </w:pPr>
            <w:r>
              <w:rPr>
                <w:rFonts w:hint="eastAsia" w:ascii="宋体" w:hAnsi="宋体" w:cs="宋体"/>
                <w:kern w:val="0"/>
                <w:sz w:val="22"/>
                <w:szCs w:val="22"/>
              </w:rPr>
              <w:t>脑白金支装不干胶标签</w:t>
            </w:r>
          </w:p>
        </w:tc>
        <w:tc>
          <w:tcPr>
            <w:tcW w:w="1567"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kern w:val="0"/>
                <w:sz w:val="22"/>
                <w:szCs w:val="22"/>
              </w:rPr>
            </w:pPr>
          </w:p>
        </w:tc>
        <w:tc>
          <w:tcPr>
            <w:tcW w:w="1134"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kern w:val="0"/>
                <w:sz w:val="22"/>
                <w:szCs w:val="22"/>
              </w:rPr>
            </w:pPr>
          </w:p>
        </w:tc>
        <w:tc>
          <w:tcPr>
            <w:tcW w:w="1134" w:type="dxa"/>
            <w:tcBorders>
              <w:top w:val="single" w:color="auto" w:sz="4" w:space="0"/>
              <w:left w:val="nil"/>
              <w:bottom w:val="single" w:color="auto" w:sz="4" w:space="0"/>
              <w:right w:val="single" w:color="auto" w:sz="4" w:space="0"/>
            </w:tcBorders>
          </w:tcPr>
          <w:p>
            <w:pPr>
              <w:widowControl/>
              <w:jc w:val="left"/>
              <w:rPr>
                <w:rFonts w:ascii="宋体" w:hAnsi="宋体" w:cs="宋体"/>
                <w:kern w:val="0"/>
                <w:sz w:val="22"/>
                <w:szCs w:val="22"/>
              </w:rPr>
            </w:pPr>
          </w:p>
        </w:tc>
        <w:tc>
          <w:tcPr>
            <w:tcW w:w="1134"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kern w:val="0"/>
                <w:sz w:val="22"/>
                <w:szCs w:val="22"/>
              </w:rPr>
            </w:pPr>
          </w:p>
        </w:tc>
        <w:tc>
          <w:tcPr>
            <w:tcW w:w="851" w:type="dxa"/>
            <w:tcBorders>
              <w:top w:val="single" w:color="auto" w:sz="4" w:space="0"/>
              <w:left w:val="nil"/>
              <w:bottom w:val="single" w:color="auto" w:sz="4" w:space="0"/>
              <w:right w:val="single" w:color="auto" w:sz="4" w:space="0"/>
            </w:tcBorders>
          </w:tcPr>
          <w:p>
            <w:pPr>
              <w:widowControl/>
              <w:jc w:val="left"/>
              <w:rPr>
                <w:rFonts w:ascii="宋体" w:hAnsi="宋体" w:cs="宋体"/>
                <w:kern w:val="0"/>
                <w:sz w:val="22"/>
                <w:szCs w:val="22"/>
              </w:rPr>
            </w:pPr>
          </w:p>
        </w:tc>
        <w:tc>
          <w:tcPr>
            <w:tcW w:w="850"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kern w:val="0"/>
                <w:sz w:val="22"/>
                <w:szCs w:val="22"/>
              </w:rPr>
            </w:pPr>
          </w:p>
        </w:tc>
        <w:tc>
          <w:tcPr>
            <w:tcW w:w="851"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kern w:val="0"/>
                <w:sz w:val="22"/>
                <w:szCs w:val="22"/>
              </w:rPr>
            </w:pPr>
          </w:p>
        </w:tc>
        <w:tc>
          <w:tcPr>
            <w:tcW w:w="85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kern w:val="0"/>
                <w:sz w:val="22"/>
                <w:szCs w:val="22"/>
              </w:rPr>
            </w:pPr>
          </w:p>
        </w:tc>
      </w:tr>
      <w:tr>
        <w:tblPrEx>
          <w:tblLayout w:type="fixed"/>
          <w:tblCellMar>
            <w:top w:w="0" w:type="dxa"/>
            <w:left w:w="108" w:type="dxa"/>
            <w:bottom w:w="0" w:type="dxa"/>
            <w:right w:w="108" w:type="dxa"/>
          </w:tblCellMar>
        </w:tblPrEx>
        <w:trPr>
          <w:trHeight w:val="539" w:hRule="atLeast"/>
        </w:trPr>
        <w:tc>
          <w:tcPr>
            <w:tcW w:w="581"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kern w:val="0"/>
                <w:sz w:val="22"/>
                <w:szCs w:val="22"/>
              </w:rPr>
            </w:pPr>
          </w:p>
        </w:tc>
        <w:tc>
          <w:tcPr>
            <w:tcW w:w="1822"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kern w:val="0"/>
                <w:sz w:val="22"/>
                <w:szCs w:val="22"/>
              </w:rPr>
            </w:pPr>
          </w:p>
        </w:tc>
        <w:tc>
          <w:tcPr>
            <w:tcW w:w="1567"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kern w:val="0"/>
                <w:sz w:val="22"/>
                <w:szCs w:val="22"/>
              </w:rPr>
            </w:pPr>
          </w:p>
        </w:tc>
        <w:tc>
          <w:tcPr>
            <w:tcW w:w="1134"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kern w:val="0"/>
                <w:sz w:val="22"/>
                <w:szCs w:val="22"/>
              </w:rPr>
            </w:pPr>
          </w:p>
        </w:tc>
        <w:tc>
          <w:tcPr>
            <w:tcW w:w="1134" w:type="dxa"/>
            <w:tcBorders>
              <w:top w:val="single" w:color="auto" w:sz="4" w:space="0"/>
              <w:left w:val="nil"/>
              <w:bottom w:val="single" w:color="auto" w:sz="4" w:space="0"/>
              <w:right w:val="single" w:color="auto" w:sz="4" w:space="0"/>
            </w:tcBorders>
          </w:tcPr>
          <w:p>
            <w:pPr>
              <w:widowControl/>
              <w:jc w:val="left"/>
              <w:rPr>
                <w:rFonts w:ascii="宋体" w:hAnsi="宋体" w:cs="宋体"/>
                <w:kern w:val="0"/>
                <w:sz w:val="22"/>
                <w:szCs w:val="22"/>
              </w:rPr>
            </w:pPr>
          </w:p>
        </w:tc>
        <w:tc>
          <w:tcPr>
            <w:tcW w:w="1134"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kern w:val="0"/>
                <w:sz w:val="22"/>
                <w:szCs w:val="22"/>
              </w:rPr>
            </w:pPr>
          </w:p>
        </w:tc>
        <w:tc>
          <w:tcPr>
            <w:tcW w:w="851" w:type="dxa"/>
            <w:tcBorders>
              <w:top w:val="single" w:color="auto" w:sz="4" w:space="0"/>
              <w:left w:val="nil"/>
              <w:bottom w:val="single" w:color="auto" w:sz="4" w:space="0"/>
              <w:right w:val="single" w:color="auto" w:sz="4" w:space="0"/>
            </w:tcBorders>
          </w:tcPr>
          <w:p>
            <w:pPr>
              <w:widowControl/>
              <w:jc w:val="left"/>
              <w:rPr>
                <w:rFonts w:ascii="宋体" w:hAnsi="宋体" w:cs="宋体"/>
                <w:kern w:val="0"/>
                <w:sz w:val="22"/>
                <w:szCs w:val="22"/>
              </w:rPr>
            </w:pPr>
          </w:p>
        </w:tc>
        <w:tc>
          <w:tcPr>
            <w:tcW w:w="850"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kern w:val="0"/>
                <w:sz w:val="22"/>
                <w:szCs w:val="22"/>
              </w:rPr>
            </w:pPr>
          </w:p>
        </w:tc>
        <w:tc>
          <w:tcPr>
            <w:tcW w:w="851"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kern w:val="0"/>
                <w:sz w:val="22"/>
                <w:szCs w:val="22"/>
              </w:rPr>
            </w:pPr>
          </w:p>
        </w:tc>
        <w:tc>
          <w:tcPr>
            <w:tcW w:w="85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kern w:val="0"/>
                <w:sz w:val="22"/>
                <w:szCs w:val="22"/>
              </w:rPr>
            </w:pPr>
          </w:p>
        </w:tc>
      </w:tr>
    </w:tbl>
    <w:p>
      <w:pPr>
        <w:ind w:left="46" w:leftChars="-67" w:hanging="187" w:hangingChars="67"/>
        <w:rPr>
          <w:rFonts w:ascii="宋体" w:hAnsi="宋体"/>
          <w:sz w:val="28"/>
          <w:szCs w:val="28"/>
        </w:rPr>
      </w:pPr>
    </w:p>
    <w:p>
      <w:pPr>
        <w:ind w:left="46" w:leftChars="-67" w:hanging="187" w:hangingChars="67"/>
        <w:rPr>
          <w:rFonts w:ascii="宋体" w:hAnsi="宋体"/>
          <w:sz w:val="28"/>
          <w:szCs w:val="28"/>
        </w:rPr>
      </w:pPr>
      <w:r>
        <w:rPr>
          <w:rFonts w:hint="eastAsia" w:ascii="宋体" w:hAnsi="宋体"/>
          <w:sz w:val="28"/>
          <w:szCs w:val="28"/>
        </w:rPr>
        <w:t>备注：1.本报价表根据投标人所投标的物型号填制，可增加行数。</w:t>
      </w:r>
    </w:p>
    <w:p>
      <w:pPr>
        <w:ind w:left="46" w:leftChars="-67" w:hanging="187" w:hangingChars="67"/>
        <w:rPr>
          <w:rFonts w:ascii="宋体" w:hAnsi="宋体"/>
          <w:sz w:val="28"/>
          <w:szCs w:val="28"/>
        </w:rPr>
      </w:pPr>
      <w:r>
        <w:rPr>
          <w:rFonts w:hint="eastAsia" w:ascii="宋体" w:hAnsi="宋体"/>
          <w:sz w:val="28"/>
          <w:szCs w:val="28"/>
        </w:rPr>
        <w:t xml:space="preserve">      2.本报价表价格构成部分不允许留空，否则按废标处理。</w:t>
      </w:r>
    </w:p>
    <w:p>
      <w:pPr>
        <w:ind w:left="46" w:leftChars="-67" w:hanging="187" w:hangingChars="67"/>
        <w:rPr>
          <w:rFonts w:ascii="宋体" w:hAnsi="宋体"/>
          <w:sz w:val="28"/>
          <w:szCs w:val="28"/>
        </w:rPr>
      </w:pPr>
      <w:r>
        <w:rPr>
          <w:rFonts w:hint="eastAsia" w:ascii="宋体" w:hAnsi="宋体"/>
          <w:sz w:val="28"/>
          <w:szCs w:val="28"/>
        </w:rPr>
        <w:t xml:space="preserve">      3.在报价前，投标人必须确认已经核对实样，并对样品相关技术细节了解清楚。</w:t>
      </w:r>
    </w:p>
    <w:p>
      <w:pPr>
        <w:ind w:left="46" w:leftChars="-67" w:hanging="187" w:hangingChars="67"/>
        <w:rPr>
          <w:rFonts w:ascii="宋体" w:hAnsi="宋体"/>
          <w:sz w:val="28"/>
          <w:szCs w:val="28"/>
        </w:rPr>
      </w:pPr>
    </w:p>
    <w:p>
      <w:pPr>
        <w:ind w:firstLine="4200" w:firstLineChars="1500"/>
        <w:rPr>
          <w:rFonts w:ascii="宋体" w:hAnsi="宋体"/>
          <w:sz w:val="28"/>
          <w:szCs w:val="28"/>
        </w:rPr>
      </w:pPr>
      <w:r>
        <w:rPr>
          <w:rFonts w:hint="eastAsia" w:ascii="宋体" w:hAnsi="宋体"/>
          <w:sz w:val="28"/>
          <w:szCs w:val="28"/>
        </w:rPr>
        <w:t>授权代表签字：</w:t>
      </w:r>
    </w:p>
    <w:p>
      <w:pPr>
        <w:ind w:firstLine="4200" w:firstLineChars="1500"/>
        <w:rPr>
          <w:rFonts w:ascii="宋体" w:hAnsi="宋体"/>
          <w:sz w:val="28"/>
          <w:szCs w:val="28"/>
        </w:rPr>
      </w:pPr>
      <w:r>
        <w:rPr>
          <w:rFonts w:hint="eastAsia" w:ascii="宋体" w:hAnsi="宋体"/>
          <w:sz w:val="28"/>
          <w:szCs w:val="28"/>
        </w:rPr>
        <w:t>单 位 盖 章：</w:t>
      </w:r>
    </w:p>
    <w:p>
      <w:pPr>
        <w:jc w:val="right"/>
        <w:outlineLvl w:val="1"/>
        <w:rPr>
          <w:rFonts w:ascii="宋体" w:hAnsi="宋体"/>
          <w:sz w:val="28"/>
          <w:szCs w:val="28"/>
        </w:rPr>
      </w:pPr>
      <w:bookmarkStart w:id="157" w:name="_Toc125451482"/>
      <w:bookmarkStart w:id="158" w:name="_Toc137103353"/>
      <w:bookmarkStart w:id="159" w:name="_Toc151054393"/>
      <w:bookmarkStart w:id="160" w:name="_Toc155763473"/>
      <w:bookmarkStart w:id="161" w:name="_Toc213127818"/>
      <w:bookmarkStart w:id="162" w:name="_Toc185233347"/>
      <w:bookmarkStart w:id="163" w:name="_Toc94175739"/>
      <w:r>
        <w:rPr>
          <w:rFonts w:hint="eastAsia" w:ascii="宋体" w:hAnsi="宋体"/>
          <w:sz w:val="28"/>
          <w:szCs w:val="28"/>
        </w:rPr>
        <w:t>年     月     日</w:t>
      </w:r>
      <w:bookmarkEnd w:id="157"/>
      <w:bookmarkEnd w:id="158"/>
      <w:bookmarkEnd w:id="159"/>
      <w:bookmarkEnd w:id="160"/>
      <w:bookmarkEnd w:id="161"/>
      <w:bookmarkEnd w:id="162"/>
      <w:bookmarkEnd w:id="163"/>
    </w:p>
    <w:p>
      <w:pPr>
        <w:jc w:val="left"/>
        <w:outlineLvl w:val="1"/>
        <w:rPr>
          <w:rFonts w:hint="eastAsia" w:ascii="宋体" w:hAnsi="宋体"/>
          <w:b/>
          <w:sz w:val="24"/>
        </w:rPr>
      </w:pPr>
    </w:p>
    <w:p>
      <w:pPr>
        <w:jc w:val="left"/>
        <w:outlineLvl w:val="1"/>
        <w:rPr>
          <w:rFonts w:ascii="宋体" w:hAnsi="宋体"/>
          <w:b/>
          <w:sz w:val="24"/>
        </w:rPr>
      </w:pPr>
      <w:r>
        <w:rPr>
          <w:rFonts w:hint="eastAsia" w:ascii="宋体" w:hAnsi="宋体"/>
          <w:b/>
          <w:sz w:val="24"/>
        </w:rPr>
        <w:t xml:space="preserve">附件4： </w:t>
      </w:r>
    </w:p>
    <w:p>
      <w:pPr>
        <w:adjustRightInd w:val="0"/>
        <w:snapToGrid w:val="0"/>
        <w:spacing w:line="360" w:lineRule="auto"/>
        <w:jc w:val="center"/>
        <w:rPr>
          <w:rFonts w:eastAsia="黑体"/>
          <w:b/>
          <w:bCs/>
          <w:sz w:val="44"/>
        </w:rPr>
      </w:pPr>
      <w:r>
        <w:rPr>
          <w:rFonts w:hint="eastAsia" w:eastAsia="黑体"/>
          <w:b/>
          <w:bCs/>
          <w:sz w:val="44"/>
        </w:rPr>
        <w:t>廉洁合作供应商承诺书</w:t>
      </w:r>
    </w:p>
    <w:p>
      <w:pPr>
        <w:adjustRightInd w:val="0"/>
        <w:snapToGrid w:val="0"/>
        <w:spacing w:line="360" w:lineRule="auto"/>
        <w:ind w:left="-539" w:right="-516" w:firstLine="540"/>
        <w:rPr>
          <w:rFonts w:eastAsia="华文细黑"/>
          <w:sz w:val="24"/>
        </w:rPr>
      </w:pPr>
    </w:p>
    <w:p>
      <w:pPr>
        <w:adjustRightInd w:val="0"/>
        <w:snapToGrid w:val="0"/>
        <w:spacing w:line="360" w:lineRule="auto"/>
        <w:ind w:left="-539" w:right="-516" w:firstLine="540"/>
        <w:rPr>
          <w:rFonts w:ascii="宋体" w:hAnsi="宋体"/>
          <w:sz w:val="28"/>
          <w:szCs w:val="28"/>
        </w:rPr>
      </w:pPr>
      <w:r>
        <w:rPr>
          <w:rFonts w:hint="eastAsia" w:ascii="宋体" w:hAnsi="宋体"/>
          <w:sz w:val="28"/>
          <w:szCs w:val="28"/>
        </w:rPr>
        <w:t>物资采购必须遵循公开透明、公平竞争、公正和诚实信用原则，在参与物资采购活动时，我代表</w:t>
      </w:r>
      <w:r>
        <w:rPr>
          <w:rFonts w:hint="eastAsia" w:ascii="宋体" w:hAnsi="宋体"/>
          <w:sz w:val="28"/>
          <w:szCs w:val="28"/>
          <w:u w:val="single"/>
        </w:rPr>
        <w:t xml:space="preserve">                          </w:t>
      </w:r>
      <w:r>
        <w:rPr>
          <w:rFonts w:hint="eastAsia" w:ascii="宋体" w:hAnsi="宋体"/>
          <w:sz w:val="28"/>
          <w:szCs w:val="28"/>
        </w:rPr>
        <w:t>公司并以本单位名义向无锡健特药业有限公司承诺：遵守以下廉政责任条款。</w:t>
      </w:r>
    </w:p>
    <w:p>
      <w:pPr>
        <w:adjustRightInd w:val="0"/>
        <w:snapToGrid w:val="0"/>
        <w:spacing w:line="360" w:lineRule="auto"/>
        <w:ind w:right="-516"/>
        <w:rPr>
          <w:rFonts w:ascii="宋体" w:hAnsi="宋体"/>
          <w:sz w:val="28"/>
          <w:szCs w:val="28"/>
        </w:rPr>
      </w:pPr>
      <w:r>
        <w:rPr>
          <w:rFonts w:ascii="宋体" w:hAnsi="宋体"/>
          <w:sz w:val="28"/>
          <w:szCs w:val="28"/>
        </w:rPr>
        <w:t>1、我司不会向贵司员工行贿。</w:t>
      </w:r>
    </w:p>
    <w:p>
      <w:pPr>
        <w:adjustRightInd w:val="0"/>
        <w:snapToGrid w:val="0"/>
        <w:spacing w:line="360" w:lineRule="auto"/>
        <w:ind w:right="-516"/>
        <w:rPr>
          <w:rFonts w:ascii="宋体" w:hAnsi="宋体"/>
          <w:sz w:val="28"/>
          <w:szCs w:val="28"/>
        </w:rPr>
      </w:pPr>
      <w:r>
        <w:rPr>
          <w:rFonts w:ascii="宋体" w:hAnsi="宋体"/>
          <w:sz w:val="28"/>
          <w:szCs w:val="28"/>
        </w:rPr>
        <w:t>2、贵司员工如有受贿行为或索贿言行，我司会如实向贵司的纪律</w:t>
      </w:r>
      <w:r>
        <w:rPr>
          <w:rFonts w:hint="eastAsia" w:ascii="宋体" w:hAnsi="宋体"/>
          <w:sz w:val="28"/>
          <w:szCs w:val="28"/>
        </w:rPr>
        <w:t>督查邮箱举报</w:t>
      </w:r>
      <w:r>
        <w:rPr>
          <w:rFonts w:ascii="宋体" w:hAnsi="宋体"/>
          <w:sz w:val="28"/>
          <w:szCs w:val="28"/>
        </w:rPr>
        <w:t>。</w:t>
      </w:r>
    </w:p>
    <w:p>
      <w:pPr>
        <w:adjustRightInd w:val="0"/>
        <w:snapToGrid w:val="0"/>
        <w:spacing w:line="360" w:lineRule="auto"/>
        <w:ind w:left="420" w:right="-516" w:hanging="420" w:hangingChars="150"/>
        <w:rPr>
          <w:rFonts w:ascii="宋体" w:hAnsi="宋体"/>
          <w:sz w:val="28"/>
          <w:szCs w:val="28"/>
        </w:rPr>
      </w:pPr>
      <w:r>
        <w:rPr>
          <w:rFonts w:ascii="宋体" w:hAnsi="宋体"/>
          <w:sz w:val="28"/>
          <w:szCs w:val="28"/>
        </w:rPr>
        <w:t>3、如有知情不报或谎报情况，贵司有权取消我方投标资格，或可终止我方继续参与</w:t>
      </w:r>
      <w:r>
        <w:rPr>
          <w:rFonts w:hint="eastAsia" w:ascii="宋体" w:hAnsi="宋体"/>
          <w:sz w:val="28"/>
          <w:szCs w:val="28"/>
        </w:rPr>
        <w:t>物资供应工作。</w:t>
      </w:r>
    </w:p>
    <w:p>
      <w:pPr>
        <w:adjustRightInd w:val="0"/>
        <w:snapToGrid w:val="0"/>
        <w:spacing w:line="360" w:lineRule="auto"/>
        <w:ind w:right="-516"/>
        <w:rPr>
          <w:rFonts w:ascii="宋体" w:hAnsi="宋体"/>
          <w:sz w:val="28"/>
          <w:szCs w:val="28"/>
        </w:rPr>
      </w:pPr>
      <w:r>
        <w:rPr>
          <w:rFonts w:hint="eastAsia" w:ascii="宋体" w:hAnsi="宋体"/>
          <w:sz w:val="28"/>
          <w:szCs w:val="28"/>
        </w:rPr>
        <w:t>4</w:t>
      </w:r>
      <w:r>
        <w:rPr>
          <w:rFonts w:ascii="宋体" w:hAnsi="宋体"/>
          <w:sz w:val="28"/>
          <w:szCs w:val="28"/>
        </w:rPr>
        <w:t>、本《承诺书》由供应商在参加投标前签好，作为投标的必备文件</w:t>
      </w:r>
      <w:r>
        <w:rPr>
          <w:rFonts w:hint="eastAsia" w:ascii="宋体" w:hAnsi="宋体"/>
          <w:sz w:val="28"/>
          <w:szCs w:val="28"/>
        </w:rPr>
        <w:t>。</w:t>
      </w:r>
    </w:p>
    <w:p>
      <w:pPr>
        <w:adjustRightInd w:val="0"/>
        <w:snapToGrid w:val="0"/>
        <w:spacing w:line="360" w:lineRule="auto"/>
        <w:ind w:right="-516"/>
        <w:rPr>
          <w:rFonts w:ascii="宋体" w:hAnsi="宋体"/>
          <w:sz w:val="28"/>
          <w:szCs w:val="28"/>
        </w:rPr>
      </w:pPr>
      <w:r>
        <w:rPr>
          <w:rFonts w:hint="eastAsia" w:ascii="宋体" w:hAnsi="宋体"/>
          <w:sz w:val="28"/>
          <w:szCs w:val="28"/>
        </w:rPr>
        <w:t>5</w:t>
      </w:r>
      <w:r>
        <w:rPr>
          <w:rFonts w:ascii="宋体" w:hAnsi="宋体"/>
          <w:sz w:val="28"/>
          <w:szCs w:val="28"/>
        </w:rPr>
        <w:t>、本《承诺书》由</w:t>
      </w:r>
      <w:r>
        <w:rPr>
          <w:rFonts w:hint="eastAsia" w:ascii="宋体" w:hAnsi="宋体"/>
          <w:sz w:val="28"/>
          <w:szCs w:val="28"/>
        </w:rPr>
        <w:t>无锡健特药业有限公司保存归档，承诺人签名盖章后生效。</w:t>
      </w:r>
    </w:p>
    <w:p>
      <w:pPr>
        <w:adjustRightInd w:val="0"/>
        <w:snapToGrid w:val="0"/>
        <w:spacing w:line="360" w:lineRule="auto"/>
        <w:ind w:left="-539" w:right="-516" w:firstLine="420"/>
        <w:rPr>
          <w:rFonts w:ascii="宋体" w:hAnsi="宋体"/>
          <w:sz w:val="28"/>
          <w:szCs w:val="28"/>
        </w:rPr>
      </w:pPr>
    </w:p>
    <w:p>
      <w:pPr>
        <w:adjustRightInd w:val="0"/>
        <w:snapToGrid w:val="0"/>
        <w:ind w:left="-539" w:right="-516" w:firstLine="420"/>
        <w:rPr>
          <w:rFonts w:ascii="宋体" w:hAnsi="宋体"/>
          <w:sz w:val="28"/>
          <w:szCs w:val="28"/>
        </w:rPr>
      </w:pPr>
    </w:p>
    <w:p>
      <w:pPr>
        <w:adjustRightInd w:val="0"/>
        <w:snapToGrid w:val="0"/>
        <w:spacing w:line="360" w:lineRule="auto"/>
        <w:ind w:left="-540" w:leftChars="-257" w:right="-516" w:firstLine="1890" w:firstLineChars="675"/>
        <w:rPr>
          <w:rFonts w:ascii="宋体" w:hAnsi="宋体"/>
          <w:sz w:val="28"/>
          <w:szCs w:val="28"/>
        </w:rPr>
      </w:pPr>
      <w:r>
        <w:rPr>
          <w:rFonts w:hint="eastAsia" w:ascii="宋体" w:hAnsi="宋体"/>
          <w:sz w:val="28"/>
          <w:szCs w:val="28"/>
        </w:rPr>
        <w:t>承诺人签名：</w:t>
      </w:r>
      <w:r>
        <w:rPr>
          <w:rFonts w:ascii="宋体" w:hAnsi="宋体"/>
          <w:sz w:val="28"/>
          <w:szCs w:val="28"/>
        </w:rPr>
        <w:t xml:space="preserve">                            </w:t>
      </w:r>
    </w:p>
    <w:p>
      <w:pPr>
        <w:adjustRightInd w:val="0"/>
        <w:snapToGrid w:val="0"/>
        <w:spacing w:line="360" w:lineRule="auto"/>
        <w:ind w:right="-516" w:firstLine="1400" w:firstLineChars="500"/>
        <w:rPr>
          <w:rFonts w:ascii="宋体" w:hAnsi="宋体"/>
          <w:sz w:val="28"/>
          <w:szCs w:val="28"/>
        </w:rPr>
      </w:pPr>
      <w:r>
        <w:rPr>
          <w:rFonts w:ascii="宋体" w:hAnsi="宋体"/>
          <w:sz w:val="28"/>
          <w:szCs w:val="28"/>
        </w:rPr>
        <w:t>职务：</w:t>
      </w:r>
    </w:p>
    <w:p>
      <w:pPr>
        <w:adjustRightInd w:val="0"/>
        <w:snapToGrid w:val="0"/>
        <w:spacing w:line="360" w:lineRule="auto"/>
        <w:ind w:right="-516" w:firstLine="1400" w:firstLineChars="500"/>
        <w:rPr>
          <w:rFonts w:ascii="宋体" w:hAnsi="宋体"/>
          <w:sz w:val="28"/>
          <w:szCs w:val="28"/>
        </w:rPr>
      </w:pPr>
      <w:r>
        <w:rPr>
          <w:rFonts w:hint="eastAsia" w:ascii="宋体" w:hAnsi="宋体"/>
          <w:sz w:val="28"/>
          <w:szCs w:val="28"/>
        </w:rPr>
        <w:t>日期：</w:t>
      </w:r>
    </w:p>
    <w:p>
      <w:pPr>
        <w:autoSpaceDE w:val="0"/>
        <w:autoSpaceDN w:val="0"/>
        <w:adjustRightInd w:val="0"/>
        <w:snapToGrid w:val="0"/>
        <w:rPr>
          <w:rFonts w:ascii="宋体" w:hAnsi="宋体" w:cs="宋体"/>
          <w:kern w:val="0"/>
          <w:sz w:val="24"/>
        </w:rPr>
      </w:pPr>
    </w:p>
    <w:p>
      <w:pPr>
        <w:jc w:val="left"/>
        <w:outlineLvl w:val="1"/>
        <w:rPr>
          <w:rFonts w:ascii="宋体" w:hAnsi="宋体"/>
          <w:b/>
          <w:sz w:val="24"/>
        </w:rPr>
      </w:pPr>
      <w:r>
        <w:rPr>
          <w:rFonts w:ascii="黑体" w:hAnsi="宋体" w:eastAsia="黑体"/>
          <w:color w:val="000000"/>
          <w:sz w:val="52"/>
        </w:rPr>
        <w:br w:type="page"/>
      </w:r>
      <w:r>
        <w:rPr>
          <w:rFonts w:hint="eastAsia" w:ascii="宋体" w:hAnsi="宋体"/>
          <w:b/>
          <w:sz w:val="24"/>
        </w:rPr>
        <w:t>附件5</w:t>
      </w:r>
    </w:p>
    <w:p>
      <w:pPr>
        <w:autoSpaceDE w:val="0"/>
        <w:autoSpaceDN w:val="0"/>
        <w:adjustRightInd w:val="0"/>
        <w:snapToGrid w:val="0"/>
        <w:spacing w:line="360" w:lineRule="auto"/>
        <w:jc w:val="center"/>
        <w:rPr>
          <w:rFonts w:ascii="黑体" w:hAnsi="宋体" w:eastAsia="黑体"/>
          <w:color w:val="000000"/>
          <w:sz w:val="44"/>
          <w:szCs w:val="44"/>
        </w:rPr>
      </w:pPr>
      <w:r>
        <w:rPr>
          <w:rFonts w:hint="eastAsia" w:ascii="黑体" w:hAnsi="宋体" w:eastAsia="黑体"/>
          <w:color w:val="000000"/>
          <w:sz w:val="44"/>
          <w:szCs w:val="44"/>
        </w:rPr>
        <w:t>货物需求一览表</w:t>
      </w:r>
    </w:p>
    <w:p>
      <w:pPr>
        <w:jc w:val="left"/>
        <w:outlineLvl w:val="1"/>
        <w:rPr>
          <w:rFonts w:ascii="宋体" w:hAnsi="宋体"/>
          <w:sz w:val="28"/>
          <w:szCs w:val="28"/>
        </w:rPr>
      </w:pPr>
      <w:r>
        <w:rPr>
          <w:rFonts w:hint="eastAsia" w:ascii="宋体" w:hAnsi="宋体"/>
          <w:sz w:val="28"/>
          <w:szCs w:val="28"/>
        </w:rPr>
        <w:t>说明：</w:t>
      </w:r>
    </w:p>
    <w:p>
      <w:pPr>
        <w:numPr>
          <w:ilvl w:val="0"/>
          <w:numId w:val="3"/>
        </w:numPr>
        <w:jc w:val="left"/>
        <w:outlineLvl w:val="1"/>
        <w:rPr>
          <w:rFonts w:ascii="宋体" w:hAnsi="宋体"/>
          <w:sz w:val="28"/>
          <w:szCs w:val="28"/>
        </w:rPr>
      </w:pPr>
      <w:r>
        <w:rPr>
          <w:rFonts w:hint="eastAsia" w:ascii="宋体" w:hAnsi="宋体"/>
          <w:sz w:val="28"/>
          <w:szCs w:val="28"/>
        </w:rPr>
        <w:t>本表中所列招标货物的数量为参考数量，实际采购数量以订单为准；</w:t>
      </w:r>
    </w:p>
    <w:p>
      <w:pPr>
        <w:numPr>
          <w:ilvl w:val="0"/>
          <w:numId w:val="3"/>
        </w:numPr>
        <w:jc w:val="left"/>
        <w:outlineLvl w:val="1"/>
        <w:rPr>
          <w:rFonts w:ascii="宋体" w:hAnsi="宋体"/>
          <w:sz w:val="28"/>
          <w:szCs w:val="28"/>
        </w:rPr>
      </w:pPr>
      <w:r>
        <w:rPr>
          <w:rFonts w:hint="eastAsia" w:ascii="宋体" w:hAnsi="宋体"/>
          <w:sz w:val="28"/>
          <w:szCs w:val="28"/>
        </w:rPr>
        <w:t>投标人可根据实际情况选择一个或者数个招标货物进行填制报价表（附件3）；</w:t>
      </w:r>
    </w:p>
    <w:p>
      <w:pPr>
        <w:numPr>
          <w:ilvl w:val="0"/>
          <w:numId w:val="3"/>
        </w:numPr>
        <w:jc w:val="left"/>
        <w:outlineLvl w:val="1"/>
        <w:rPr>
          <w:rFonts w:ascii="宋体" w:hAnsi="宋体"/>
          <w:sz w:val="28"/>
          <w:szCs w:val="28"/>
        </w:rPr>
      </w:pPr>
      <w:r>
        <w:rPr>
          <w:rFonts w:hint="eastAsia" w:ascii="宋体" w:hAnsi="宋体"/>
          <w:sz w:val="28"/>
          <w:szCs w:val="28"/>
        </w:rPr>
        <w:t>本表适用于招标编号:JT-19009。</w:t>
      </w:r>
    </w:p>
    <w:p>
      <w:pPr>
        <w:ind w:left="360"/>
        <w:jc w:val="left"/>
        <w:outlineLvl w:val="1"/>
        <w:rPr>
          <w:rFonts w:ascii="宋体" w:hAnsi="宋体"/>
          <w:sz w:val="28"/>
          <w:szCs w:val="28"/>
        </w:rPr>
      </w:pPr>
    </w:p>
    <w:tbl>
      <w:tblPr>
        <w:tblStyle w:val="71"/>
        <w:tblW w:w="9640" w:type="dxa"/>
        <w:tblInd w:w="-176"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817"/>
        <w:gridCol w:w="3352"/>
        <w:gridCol w:w="1575"/>
        <w:gridCol w:w="840"/>
        <w:gridCol w:w="305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12" w:hRule="atLeast"/>
        </w:trPr>
        <w:tc>
          <w:tcPr>
            <w:tcW w:w="817" w:type="dxa"/>
            <w:vAlign w:val="center"/>
          </w:tcPr>
          <w:p>
            <w:pPr>
              <w:autoSpaceDE w:val="0"/>
              <w:autoSpaceDN w:val="0"/>
              <w:adjustRightInd w:val="0"/>
              <w:snapToGrid w:val="0"/>
              <w:spacing w:line="276" w:lineRule="auto"/>
              <w:jc w:val="center"/>
              <w:rPr>
                <w:rFonts w:ascii="宋体" w:hAnsi="宋体"/>
                <w:color w:val="000000"/>
                <w:szCs w:val="21"/>
              </w:rPr>
            </w:pPr>
            <w:r>
              <w:rPr>
                <w:rFonts w:hint="eastAsia" w:ascii="宋体" w:hAnsi="宋体"/>
                <w:color w:val="000000"/>
                <w:szCs w:val="21"/>
              </w:rPr>
              <w:t>项号</w:t>
            </w:r>
          </w:p>
        </w:tc>
        <w:tc>
          <w:tcPr>
            <w:tcW w:w="3352" w:type="dxa"/>
            <w:vAlign w:val="center"/>
          </w:tcPr>
          <w:p>
            <w:pPr>
              <w:autoSpaceDE w:val="0"/>
              <w:autoSpaceDN w:val="0"/>
              <w:adjustRightInd w:val="0"/>
              <w:snapToGrid w:val="0"/>
              <w:spacing w:line="276" w:lineRule="auto"/>
              <w:jc w:val="center"/>
              <w:rPr>
                <w:rFonts w:ascii="宋体" w:hAnsi="宋体"/>
                <w:color w:val="000000"/>
                <w:szCs w:val="21"/>
              </w:rPr>
            </w:pPr>
            <w:r>
              <w:rPr>
                <w:rFonts w:hint="eastAsia" w:ascii="宋体" w:hAnsi="宋体"/>
                <w:color w:val="000000"/>
                <w:szCs w:val="21"/>
              </w:rPr>
              <w:t>招标货物名称</w:t>
            </w:r>
          </w:p>
        </w:tc>
        <w:tc>
          <w:tcPr>
            <w:tcW w:w="1575" w:type="dxa"/>
            <w:vAlign w:val="center"/>
          </w:tcPr>
          <w:p>
            <w:pPr>
              <w:autoSpaceDE w:val="0"/>
              <w:autoSpaceDN w:val="0"/>
              <w:adjustRightInd w:val="0"/>
              <w:snapToGrid w:val="0"/>
              <w:spacing w:line="276" w:lineRule="auto"/>
              <w:ind w:left="69" w:hanging="69" w:hangingChars="33"/>
              <w:jc w:val="center"/>
              <w:rPr>
                <w:rFonts w:ascii="宋体" w:hAnsi="宋体"/>
                <w:color w:val="000000"/>
                <w:szCs w:val="21"/>
              </w:rPr>
            </w:pPr>
            <w:r>
              <w:rPr>
                <w:rFonts w:hint="eastAsia" w:ascii="宋体" w:hAnsi="宋体"/>
                <w:color w:val="000000"/>
                <w:szCs w:val="21"/>
              </w:rPr>
              <w:t>参考数量</w:t>
            </w:r>
          </w:p>
        </w:tc>
        <w:tc>
          <w:tcPr>
            <w:tcW w:w="840" w:type="dxa"/>
            <w:vAlign w:val="center"/>
          </w:tcPr>
          <w:p>
            <w:pPr>
              <w:autoSpaceDE w:val="0"/>
              <w:autoSpaceDN w:val="0"/>
              <w:adjustRightInd w:val="0"/>
              <w:snapToGrid w:val="0"/>
              <w:spacing w:line="276" w:lineRule="auto"/>
              <w:jc w:val="center"/>
              <w:rPr>
                <w:rFonts w:ascii="宋体" w:hAnsi="宋体"/>
                <w:color w:val="000000"/>
                <w:szCs w:val="21"/>
              </w:rPr>
            </w:pPr>
            <w:r>
              <w:rPr>
                <w:rFonts w:hint="eastAsia" w:ascii="宋体" w:hAnsi="宋体"/>
                <w:color w:val="000000"/>
                <w:szCs w:val="21"/>
              </w:rPr>
              <w:t>单位</w:t>
            </w:r>
          </w:p>
        </w:tc>
        <w:tc>
          <w:tcPr>
            <w:tcW w:w="3056" w:type="dxa"/>
            <w:vAlign w:val="center"/>
          </w:tcPr>
          <w:p>
            <w:pPr>
              <w:autoSpaceDE w:val="0"/>
              <w:autoSpaceDN w:val="0"/>
              <w:adjustRightInd w:val="0"/>
              <w:snapToGrid w:val="0"/>
              <w:spacing w:line="276" w:lineRule="auto"/>
              <w:jc w:val="center"/>
              <w:rPr>
                <w:rFonts w:ascii="宋体" w:hAnsi="宋体"/>
                <w:color w:val="000000"/>
                <w:szCs w:val="21"/>
              </w:rPr>
            </w:pPr>
            <w:r>
              <w:rPr>
                <w:rFonts w:hint="eastAsia" w:ascii="宋体" w:hAnsi="宋体"/>
                <w:color w:val="000000"/>
                <w:szCs w:val="21"/>
              </w:rPr>
              <w:t>技术及性能要求</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12" w:hRule="atLeast"/>
        </w:trPr>
        <w:tc>
          <w:tcPr>
            <w:tcW w:w="817" w:type="dxa"/>
            <w:vAlign w:val="center"/>
          </w:tcPr>
          <w:p>
            <w:pPr>
              <w:autoSpaceDE w:val="0"/>
              <w:autoSpaceDN w:val="0"/>
              <w:adjustRightInd w:val="0"/>
              <w:snapToGrid w:val="0"/>
              <w:spacing w:line="276" w:lineRule="auto"/>
              <w:jc w:val="center"/>
              <w:rPr>
                <w:rFonts w:ascii="宋体" w:hAnsi="宋体"/>
                <w:color w:val="000000"/>
                <w:szCs w:val="21"/>
              </w:rPr>
            </w:pPr>
            <w:r>
              <w:rPr>
                <w:rFonts w:hint="eastAsia" w:ascii="宋体" w:hAnsi="宋体"/>
                <w:color w:val="000000"/>
                <w:szCs w:val="21"/>
              </w:rPr>
              <w:t>1</w:t>
            </w:r>
          </w:p>
        </w:tc>
        <w:tc>
          <w:tcPr>
            <w:tcW w:w="3352" w:type="dxa"/>
            <w:vAlign w:val="center"/>
          </w:tcPr>
          <w:p>
            <w:pPr>
              <w:widowControl/>
              <w:jc w:val="left"/>
              <w:rPr>
                <w:rFonts w:ascii="宋体" w:hAnsi="宋体" w:cs="宋体"/>
                <w:kern w:val="0"/>
                <w:sz w:val="22"/>
                <w:szCs w:val="22"/>
              </w:rPr>
            </w:pPr>
            <w:r>
              <w:rPr>
                <w:rFonts w:hint="eastAsia" w:ascii="宋体" w:hAnsi="宋体" w:cs="宋体"/>
                <w:kern w:val="0"/>
                <w:sz w:val="22"/>
                <w:szCs w:val="22"/>
              </w:rPr>
              <w:t>脑白金套标共2款</w:t>
            </w:r>
          </w:p>
        </w:tc>
        <w:tc>
          <w:tcPr>
            <w:tcW w:w="1575" w:type="dxa"/>
            <w:vAlign w:val="center"/>
          </w:tcPr>
          <w:p>
            <w:pPr>
              <w:autoSpaceDE w:val="0"/>
              <w:autoSpaceDN w:val="0"/>
              <w:adjustRightInd w:val="0"/>
              <w:snapToGrid w:val="0"/>
              <w:spacing w:line="276" w:lineRule="auto"/>
              <w:jc w:val="center"/>
              <w:rPr>
                <w:rFonts w:ascii="宋体" w:hAnsi="宋体"/>
                <w:color w:val="000000"/>
                <w:szCs w:val="21"/>
              </w:rPr>
            </w:pPr>
            <w:r>
              <w:rPr>
                <w:rFonts w:hint="eastAsia" w:ascii="宋体" w:hAnsi="宋体"/>
                <w:color w:val="000000"/>
                <w:szCs w:val="21"/>
              </w:rPr>
              <w:t>1000</w:t>
            </w:r>
          </w:p>
        </w:tc>
        <w:tc>
          <w:tcPr>
            <w:tcW w:w="840" w:type="dxa"/>
            <w:vAlign w:val="center"/>
          </w:tcPr>
          <w:p>
            <w:pPr>
              <w:autoSpaceDE w:val="0"/>
              <w:autoSpaceDN w:val="0"/>
              <w:adjustRightInd w:val="0"/>
              <w:snapToGrid w:val="0"/>
              <w:spacing w:line="276" w:lineRule="auto"/>
              <w:jc w:val="center"/>
              <w:rPr>
                <w:rFonts w:ascii="宋体" w:hAnsi="宋体"/>
                <w:color w:val="000000"/>
                <w:szCs w:val="21"/>
              </w:rPr>
            </w:pPr>
            <w:r>
              <w:rPr>
                <w:rFonts w:hint="eastAsia" w:ascii="宋体" w:hAnsi="宋体"/>
                <w:color w:val="000000"/>
                <w:szCs w:val="21"/>
              </w:rPr>
              <w:t>万张</w:t>
            </w:r>
          </w:p>
        </w:tc>
        <w:tc>
          <w:tcPr>
            <w:tcW w:w="3056" w:type="dxa"/>
            <w:vAlign w:val="center"/>
          </w:tcPr>
          <w:p>
            <w:pPr>
              <w:autoSpaceDE w:val="0"/>
              <w:autoSpaceDN w:val="0"/>
              <w:adjustRightInd w:val="0"/>
              <w:snapToGrid w:val="0"/>
              <w:spacing w:line="276" w:lineRule="auto"/>
              <w:jc w:val="center"/>
              <w:rPr>
                <w:rFonts w:ascii="宋体" w:hAnsi="宋体"/>
                <w:color w:val="000000"/>
                <w:szCs w:val="21"/>
              </w:rPr>
            </w:pPr>
            <w:r>
              <w:rPr>
                <w:rFonts w:hint="eastAsia" w:ascii="宋体" w:hAnsi="宋体"/>
                <w:color w:val="000000"/>
                <w:szCs w:val="21"/>
              </w:rPr>
              <w:t>详见招标书“技术要求”</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12" w:hRule="atLeast"/>
        </w:trPr>
        <w:tc>
          <w:tcPr>
            <w:tcW w:w="817" w:type="dxa"/>
            <w:vAlign w:val="center"/>
          </w:tcPr>
          <w:p>
            <w:pPr>
              <w:autoSpaceDE w:val="0"/>
              <w:autoSpaceDN w:val="0"/>
              <w:adjustRightInd w:val="0"/>
              <w:snapToGrid w:val="0"/>
              <w:spacing w:line="276" w:lineRule="auto"/>
              <w:jc w:val="center"/>
              <w:rPr>
                <w:rFonts w:ascii="宋体" w:hAnsi="宋体"/>
                <w:color w:val="000000"/>
                <w:szCs w:val="21"/>
              </w:rPr>
            </w:pPr>
            <w:r>
              <w:rPr>
                <w:rFonts w:hint="eastAsia" w:ascii="宋体" w:hAnsi="宋体"/>
                <w:color w:val="000000"/>
                <w:szCs w:val="21"/>
              </w:rPr>
              <w:t>2</w:t>
            </w:r>
          </w:p>
        </w:tc>
        <w:tc>
          <w:tcPr>
            <w:tcW w:w="3352" w:type="dxa"/>
            <w:vAlign w:val="center"/>
          </w:tcPr>
          <w:p>
            <w:pPr>
              <w:widowControl/>
              <w:jc w:val="left"/>
              <w:rPr>
                <w:rFonts w:ascii="宋体" w:hAnsi="宋体" w:cs="宋体"/>
                <w:kern w:val="0"/>
                <w:sz w:val="22"/>
                <w:szCs w:val="22"/>
              </w:rPr>
            </w:pPr>
            <w:r>
              <w:rPr>
                <w:rFonts w:hint="eastAsia" w:ascii="宋体" w:hAnsi="宋体" w:cs="宋体"/>
                <w:kern w:val="0"/>
                <w:sz w:val="22"/>
                <w:szCs w:val="22"/>
              </w:rPr>
              <w:t>黄金搭档普装系列不干胶标签（正背标）共4款</w:t>
            </w:r>
          </w:p>
        </w:tc>
        <w:tc>
          <w:tcPr>
            <w:tcW w:w="1575" w:type="dxa"/>
            <w:vAlign w:val="center"/>
          </w:tcPr>
          <w:p>
            <w:pPr>
              <w:autoSpaceDE w:val="0"/>
              <w:autoSpaceDN w:val="0"/>
              <w:adjustRightInd w:val="0"/>
              <w:snapToGrid w:val="0"/>
              <w:spacing w:line="276" w:lineRule="auto"/>
              <w:jc w:val="center"/>
              <w:rPr>
                <w:rFonts w:ascii="宋体" w:hAnsi="宋体"/>
                <w:color w:val="000000"/>
                <w:szCs w:val="21"/>
              </w:rPr>
            </w:pPr>
            <w:r>
              <w:rPr>
                <w:rFonts w:hint="eastAsia" w:ascii="宋体" w:hAnsi="宋体"/>
                <w:color w:val="000000"/>
                <w:szCs w:val="21"/>
              </w:rPr>
              <w:t>20</w:t>
            </w:r>
          </w:p>
        </w:tc>
        <w:tc>
          <w:tcPr>
            <w:tcW w:w="840" w:type="dxa"/>
            <w:vAlign w:val="center"/>
          </w:tcPr>
          <w:p>
            <w:pPr>
              <w:autoSpaceDE w:val="0"/>
              <w:autoSpaceDN w:val="0"/>
              <w:adjustRightInd w:val="0"/>
              <w:snapToGrid w:val="0"/>
              <w:spacing w:line="276" w:lineRule="auto"/>
              <w:jc w:val="center"/>
              <w:rPr>
                <w:rFonts w:ascii="宋体" w:hAnsi="宋体"/>
                <w:color w:val="000000"/>
                <w:szCs w:val="21"/>
              </w:rPr>
            </w:pPr>
            <w:r>
              <w:rPr>
                <w:rFonts w:hint="eastAsia" w:ascii="宋体" w:hAnsi="宋体"/>
                <w:color w:val="000000"/>
                <w:szCs w:val="21"/>
              </w:rPr>
              <w:t>万张</w:t>
            </w:r>
          </w:p>
        </w:tc>
        <w:tc>
          <w:tcPr>
            <w:tcW w:w="3056" w:type="dxa"/>
            <w:vAlign w:val="center"/>
          </w:tcPr>
          <w:p>
            <w:pPr>
              <w:autoSpaceDE w:val="0"/>
              <w:autoSpaceDN w:val="0"/>
              <w:adjustRightInd w:val="0"/>
              <w:snapToGrid w:val="0"/>
              <w:spacing w:line="276" w:lineRule="auto"/>
              <w:jc w:val="center"/>
              <w:rPr>
                <w:rFonts w:ascii="宋体" w:hAnsi="宋体"/>
                <w:color w:val="000000"/>
                <w:szCs w:val="21"/>
              </w:rPr>
            </w:pPr>
            <w:r>
              <w:rPr>
                <w:rFonts w:hint="eastAsia" w:ascii="宋体" w:hAnsi="宋体"/>
                <w:color w:val="000000"/>
                <w:szCs w:val="21"/>
              </w:rPr>
              <w:t>详见招标书“技术要求”</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12" w:hRule="atLeast"/>
        </w:trPr>
        <w:tc>
          <w:tcPr>
            <w:tcW w:w="817" w:type="dxa"/>
            <w:vAlign w:val="center"/>
          </w:tcPr>
          <w:p>
            <w:pPr>
              <w:autoSpaceDE w:val="0"/>
              <w:autoSpaceDN w:val="0"/>
              <w:adjustRightInd w:val="0"/>
              <w:snapToGrid w:val="0"/>
              <w:spacing w:line="276" w:lineRule="auto"/>
              <w:jc w:val="center"/>
              <w:rPr>
                <w:rFonts w:ascii="宋体" w:hAnsi="宋体"/>
                <w:color w:val="000000"/>
                <w:szCs w:val="21"/>
              </w:rPr>
            </w:pPr>
            <w:r>
              <w:rPr>
                <w:rFonts w:hint="eastAsia" w:ascii="宋体" w:hAnsi="宋体"/>
                <w:color w:val="000000"/>
                <w:szCs w:val="21"/>
              </w:rPr>
              <w:t>3</w:t>
            </w:r>
          </w:p>
        </w:tc>
        <w:tc>
          <w:tcPr>
            <w:tcW w:w="3352" w:type="dxa"/>
            <w:vAlign w:val="center"/>
          </w:tcPr>
          <w:p>
            <w:pPr>
              <w:widowControl/>
              <w:jc w:val="left"/>
              <w:rPr>
                <w:rFonts w:ascii="宋体" w:hAnsi="宋体" w:cs="宋体"/>
                <w:kern w:val="0"/>
                <w:sz w:val="22"/>
                <w:szCs w:val="22"/>
              </w:rPr>
            </w:pPr>
            <w:r>
              <w:rPr>
                <w:rFonts w:hint="eastAsia" w:ascii="宋体" w:hAnsi="宋体" w:cs="宋体"/>
                <w:kern w:val="0"/>
                <w:sz w:val="22"/>
                <w:szCs w:val="22"/>
              </w:rPr>
              <w:t>大保健系列不干胶标签共6款</w:t>
            </w:r>
          </w:p>
        </w:tc>
        <w:tc>
          <w:tcPr>
            <w:tcW w:w="1575" w:type="dxa"/>
            <w:vAlign w:val="center"/>
          </w:tcPr>
          <w:p>
            <w:pPr>
              <w:autoSpaceDE w:val="0"/>
              <w:autoSpaceDN w:val="0"/>
              <w:adjustRightInd w:val="0"/>
              <w:snapToGrid w:val="0"/>
              <w:spacing w:line="276" w:lineRule="auto"/>
              <w:ind w:firstLine="105" w:firstLineChars="50"/>
              <w:jc w:val="center"/>
              <w:rPr>
                <w:rFonts w:ascii="宋体" w:hAnsi="宋体"/>
                <w:color w:val="000000"/>
                <w:szCs w:val="21"/>
              </w:rPr>
            </w:pPr>
            <w:r>
              <w:rPr>
                <w:rFonts w:hint="eastAsia" w:ascii="宋体" w:hAnsi="宋体"/>
                <w:color w:val="000000"/>
                <w:szCs w:val="21"/>
              </w:rPr>
              <w:t>50</w:t>
            </w:r>
          </w:p>
        </w:tc>
        <w:tc>
          <w:tcPr>
            <w:tcW w:w="840" w:type="dxa"/>
            <w:vAlign w:val="center"/>
          </w:tcPr>
          <w:p>
            <w:pPr>
              <w:autoSpaceDE w:val="0"/>
              <w:autoSpaceDN w:val="0"/>
              <w:adjustRightInd w:val="0"/>
              <w:snapToGrid w:val="0"/>
              <w:spacing w:line="276" w:lineRule="auto"/>
              <w:jc w:val="center"/>
              <w:rPr>
                <w:rFonts w:ascii="宋体" w:hAnsi="宋体"/>
                <w:color w:val="000000"/>
                <w:szCs w:val="21"/>
              </w:rPr>
            </w:pPr>
            <w:r>
              <w:rPr>
                <w:rFonts w:hint="eastAsia" w:ascii="宋体" w:hAnsi="宋体"/>
                <w:color w:val="000000"/>
                <w:szCs w:val="21"/>
              </w:rPr>
              <w:t>万张</w:t>
            </w:r>
          </w:p>
        </w:tc>
        <w:tc>
          <w:tcPr>
            <w:tcW w:w="3056" w:type="dxa"/>
            <w:vAlign w:val="center"/>
          </w:tcPr>
          <w:p>
            <w:pPr>
              <w:autoSpaceDE w:val="0"/>
              <w:autoSpaceDN w:val="0"/>
              <w:adjustRightInd w:val="0"/>
              <w:snapToGrid w:val="0"/>
              <w:spacing w:line="276" w:lineRule="auto"/>
              <w:jc w:val="center"/>
              <w:rPr>
                <w:rFonts w:ascii="宋体" w:hAnsi="宋体"/>
                <w:color w:val="000000"/>
                <w:szCs w:val="21"/>
              </w:rPr>
            </w:pPr>
            <w:r>
              <w:rPr>
                <w:rFonts w:hint="eastAsia" w:ascii="宋体" w:hAnsi="宋体"/>
                <w:color w:val="000000"/>
                <w:szCs w:val="21"/>
              </w:rPr>
              <w:t>详见招标书“技术要求”</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12" w:hRule="atLeast"/>
        </w:trPr>
        <w:tc>
          <w:tcPr>
            <w:tcW w:w="817" w:type="dxa"/>
            <w:vAlign w:val="center"/>
          </w:tcPr>
          <w:p>
            <w:pPr>
              <w:autoSpaceDE w:val="0"/>
              <w:autoSpaceDN w:val="0"/>
              <w:adjustRightInd w:val="0"/>
              <w:snapToGrid w:val="0"/>
              <w:spacing w:line="276" w:lineRule="auto"/>
              <w:jc w:val="center"/>
              <w:rPr>
                <w:rFonts w:ascii="宋体" w:hAnsi="宋体"/>
                <w:color w:val="000000"/>
                <w:szCs w:val="21"/>
              </w:rPr>
            </w:pPr>
            <w:r>
              <w:rPr>
                <w:rFonts w:hint="eastAsia" w:ascii="宋体" w:hAnsi="宋体"/>
                <w:color w:val="000000"/>
                <w:szCs w:val="21"/>
              </w:rPr>
              <w:t>4</w:t>
            </w:r>
          </w:p>
        </w:tc>
        <w:tc>
          <w:tcPr>
            <w:tcW w:w="3352" w:type="dxa"/>
            <w:vAlign w:val="center"/>
          </w:tcPr>
          <w:p>
            <w:pPr>
              <w:widowControl/>
              <w:jc w:val="left"/>
              <w:rPr>
                <w:rFonts w:ascii="宋体" w:hAnsi="宋体" w:cs="宋体"/>
                <w:kern w:val="0"/>
                <w:sz w:val="22"/>
                <w:szCs w:val="22"/>
              </w:rPr>
            </w:pPr>
            <w:r>
              <w:rPr>
                <w:rFonts w:hint="eastAsia" w:ascii="宋体" w:hAnsi="宋体" w:cs="宋体"/>
                <w:kern w:val="0"/>
                <w:sz w:val="22"/>
                <w:szCs w:val="22"/>
              </w:rPr>
              <w:t>大保健非卖品</w:t>
            </w:r>
          </w:p>
        </w:tc>
        <w:tc>
          <w:tcPr>
            <w:tcW w:w="1575" w:type="dxa"/>
            <w:vAlign w:val="center"/>
          </w:tcPr>
          <w:p>
            <w:pPr>
              <w:autoSpaceDE w:val="0"/>
              <w:autoSpaceDN w:val="0"/>
              <w:adjustRightInd w:val="0"/>
              <w:snapToGrid w:val="0"/>
              <w:spacing w:line="276" w:lineRule="auto"/>
              <w:jc w:val="center"/>
              <w:rPr>
                <w:rFonts w:ascii="宋体" w:hAnsi="宋体"/>
                <w:color w:val="000000"/>
                <w:szCs w:val="21"/>
              </w:rPr>
            </w:pPr>
            <w:r>
              <w:rPr>
                <w:rFonts w:hint="eastAsia" w:ascii="宋体" w:hAnsi="宋体"/>
                <w:color w:val="000000"/>
                <w:szCs w:val="21"/>
              </w:rPr>
              <w:t>35</w:t>
            </w:r>
          </w:p>
        </w:tc>
        <w:tc>
          <w:tcPr>
            <w:tcW w:w="840" w:type="dxa"/>
            <w:vAlign w:val="center"/>
          </w:tcPr>
          <w:p>
            <w:pPr>
              <w:autoSpaceDE w:val="0"/>
              <w:autoSpaceDN w:val="0"/>
              <w:adjustRightInd w:val="0"/>
              <w:snapToGrid w:val="0"/>
              <w:spacing w:line="276" w:lineRule="auto"/>
              <w:jc w:val="center"/>
              <w:rPr>
                <w:rFonts w:ascii="宋体" w:hAnsi="宋体"/>
                <w:color w:val="000000"/>
                <w:szCs w:val="21"/>
              </w:rPr>
            </w:pPr>
            <w:r>
              <w:rPr>
                <w:rFonts w:hint="eastAsia" w:ascii="宋体" w:hAnsi="宋体"/>
                <w:color w:val="000000"/>
                <w:szCs w:val="21"/>
              </w:rPr>
              <w:t>万张</w:t>
            </w:r>
          </w:p>
        </w:tc>
        <w:tc>
          <w:tcPr>
            <w:tcW w:w="3056" w:type="dxa"/>
            <w:vAlign w:val="center"/>
          </w:tcPr>
          <w:p>
            <w:pPr>
              <w:autoSpaceDE w:val="0"/>
              <w:autoSpaceDN w:val="0"/>
              <w:adjustRightInd w:val="0"/>
              <w:snapToGrid w:val="0"/>
              <w:spacing w:line="276" w:lineRule="auto"/>
              <w:jc w:val="center"/>
              <w:rPr>
                <w:rFonts w:ascii="宋体" w:hAnsi="宋体"/>
                <w:color w:val="000000"/>
                <w:szCs w:val="21"/>
              </w:rPr>
            </w:pPr>
            <w:r>
              <w:rPr>
                <w:rFonts w:hint="eastAsia" w:ascii="宋体" w:hAnsi="宋体"/>
                <w:color w:val="000000"/>
                <w:szCs w:val="21"/>
              </w:rPr>
              <w:t>详见招标书“技术要求”</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12" w:hRule="atLeast"/>
        </w:trPr>
        <w:tc>
          <w:tcPr>
            <w:tcW w:w="817" w:type="dxa"/>
            <w:vAlign w:val="center"/>
          </w:tcPr>
          <w:p>
            <w:pPr>
              <w:autoSpaceDE w:val="0"/>
              <w:autoSpaceDN w:val="0"/>
              <w:adjustRightInd w:val="0"/>
              <w:snapToGrid w:val="0"/>
              <w:spacing w:line="276" w:lineRule="auto"/>
              <w:jc w:val="center"/>
              <w:rPr>
                <w:rFonts w:ascii="宋体" w:hAnsi="宋体"/>
                <w:color w:val="000000"/>
                <w:szCs w:val="21"/>
              </w:rPr>
            </w:pPr>
            <w:r>
              <w:rPr>
                <w:rFonts w:hint="eastAsia" w:ascii="宋体" w:hAnsi="宋体"/>
                <w:color w:val="000000"/>
                <w:szCs w:val="21"/>
              </w:rPr>
              <w:t>5</w:t>
            </w:r>
          </w:p>
        </w:tc>
        <w:tc>
          <w:tcPr>
            <w:tcW w:w="3352" w:type="dxa"/>
            <w:vAlign w:val="center"/>
          </w:tcPr>
          <w:p>
            <w:pPr>
              <w:widowControl/>
              <w:jc w:val="left"/>
              <w:rPr>
                <w:rFonts w:ascii="宋体" w:hAnsi="宋体" w:cs="宋体"/>
                <w:kern w:val="0"/>
                <w:sz w:val="22"/>
                <w:szCs w:val="22"/>
              </w:rPr>
            </w:pPr>
            <w:r>
              <w:rPr>
                <w:rFonts w:hint="eastAsia" w:ascii="宋体" w:hAnsi="宋体" w:cs="宋体"/>
                <w:kern w:val="0"/>
                <w:sz w:val="22"/>
                <w:szCs w:val="22"/>
              </w:rPr>
              <w:t>脑白金支装不干胶标签</w:t>
            </w:r>
          </w:p>
        </w:tc>
        <w:tc>
          <w:tcPr>
            <w:tcW w:w="1575" w:type="dxa"/>
            <w:vAlign w:val="center"/>
          </w:tcPr>
          <w:p>
            <w:pPr>
              <w:autoSpaceDE w:val="0"/>
              <w:autoSpaceDN w:val="0"/>
              <w:adjustRightInd w:val="0"/>
              <w:snapToGrid w:val="0"/>
              <w:spacing w:line="276" w:lineRule="auto"/>
              <w:jc w:val="center"/>
              <w:rPr>
                <w:rFonts w:ascii="宋体" w:hAnsi="宋体"/>
                <w:color w:val="000000"/>
                <w:szCs w:val="21"/>
              </w:rPr>
            </w:pPr>
            <w:r>
              <w:rPr>
                <w:rFonts w:hint="eastAsia" w:ascii="宋体" w:hAnsi="宋体"/>
                <w:color w:val="000000"/>
                <w:szCs w:val="21"/>
              </w:rPr>
              <w:t>400</w:t>
            </w:r>
          </w:p>
        </w:tc>
        <w:tc>
          <w:tcPr>
            <w:tcW w:w="840" w:type="dxa"/>
            <w:vAlign w:val="center"/>
          </w:tcPr>
          <w:p>
            <w:pPr>
              <w:autoSpaceDE w:val="0"/>
              <w:autoSpaceDN w:val="0"/>
              <w:adjustRightInd w:val="0"/>
              <w:snapToGrid w:val="0"/>
              <w:spacing w:line="276" w:lineRule="auto"/>
              <w:jc w:val="center"/>
              <w:rPr>
                <w:rFonts w:ascii="宋体" w:hAnsi="宋体"/>
                <w:color w:val="000000"/>
                <w:szCs w:val="21"/>
              </w:rPr>
            </w:pPr>
            <w:r>
              <w:rPr>
                <w:rFonts w:hint="eastAsia" w:ascii="宋体" w:hAnsi="宋体"/>
                <w:color w:val="000000"/>
                <w:szCs w:val="21"/>
              </w:rPr>
              <w:t>万张</w:t>
            </w:r>
          </w:p>
        </w:tc>
        <w:tc>
          <w:tcPr>
            <w:tcW w:w="3056" w:type="dxa"/>
            <w:vAlign w:val="center"/>
          </w:tcPr>
          <w:p>
            <w:pPr>
              <w:autoSpaceDE w:val="0"/>
              <w:autoSpaceDN w:val="0"/>
              <w:adjustRightInd w:val="0"/>
              <w:snapToGrid w:val="0"/>
              <w:spacing w:line="276" w:lineRule="auto"/>
              <w:jc w:val="center"/>
              <w:rPr>
                <w:rFonts w:ascii="宋体" w:hAnsi="宋体"/>
                <w:color w:val="000000"/>
                <w:szCs w:val="21"/>
              </w:rPr>
            </w:pPr>
            <w:r>
              <w:rPr>
                <w:rFonts w:hint="eastAsia" w:ascii="宋体" w:hAnsi="宋体"/>
                <w:color w:val="000000"/>
                <w:szCs w:val="21"/>
              </w:rPr>
              <w:t>详见招标书“技术要求”</w:t>
            </w:r>
          </w:p>
        </w:tc>
      </w:tr>
    </w:tbl>
    <w:p>
      <w:pPr>
        <w:autoSpaceDE w:val="0"/>
        <w:autoSpaceDN w:val="0"/>
        <w:adjustRightInd w:val="0"/>
        <w:snapToGrid w:val="0"/>
        <w:spacing w:line="360" w:lineRule="auto"/>
        <w:rPr>
          <w:rFonts w:ascii="宋体" w:hAnsi="宋体"/>
          <w:color w:val="000000"/>
          <w:sz w:val="28"/>
          <w:szCs w:val="28"/>
        </w:rPr>
      </w:pPr>
    </w:p>
    <w:p>
      <w:pPr>
        <w:autoSpaceDE w:val="0"/>
        <w:autoSpaceDN w:val="0"/>
        <w:adjustRightInd w:val="0"/>
        <w:snapToGrid w:val="0"/>
        <w:spacing w:line="360" w:lineRule="auto"/>
        <w:rPr>
          <w:rFonts w:ascii="宋体" w:hAnsi="宋体"/>
          <w:color w:val="000000"/>
          <w:sz w:val="28"/>
          <w:szCs w:val="28"/>
        </w:rPr>
      </w:pPr>
      <w:r>
        <w:rPr>
          <w:rFonts w:hint="eastAsia" w:ascii="宋体" w:hAnsi="宋体"/>
          <w:color w:val="000000"/>
          <w:sz w:val="28"/>
          <w:szCs w:val="28"/>
        </w:rPr>
        <w:t>备注:</w:t>
      </w:r>
    </w:p>
    <w:p>
      <w:pPr>
        <w:autoSpaceDE w:val="0"/>
        <w:autoSpaceDN w:val="0"/>
        <w:adjustRightInd w:val="0"/>
        <w:snapToGrid w:val="0"/>
        <w:spacing w:line="360" w:lineRule="auto"/>
        <w:rPr>
          <w:rFonts w:ascii="宋体" w:hAnsi="宋体"/>
          <w:color w:val="000000"/>
          <w:sz w:val="28"/>
          <w:szCs w:val="28"/>
        </w:rPr>
      </w:pPr>
      <w:r>
        <w:rPr>
          <w:rFonts w:hint="eastAsia" w:ascii="宋体" w:hAnsi="宋体"/>
          <w:color w:val="000000"/>
          <w:sz w:val="28"/>
          <w:szCs w:val="28"/>
        </w:rPr>
        <w:t>1.参考数量为2019年计划采购数量,本次招投标标的数量可参考此数量。</w:t>
      </w:r>
    </w:p>
    <w:p>
      <w:pPr>
        <w:autoSpaceDE w:val="0"/>
        <w:autoSpaceDN w:val="0"/>
        <w:adjustRightInd w:val="0"/>
        <w:snapToGrid w:val="0"/>
        <w:spacing w:line="360" w:lineRule="auto"/>
        <w:rPr>
          <w:rFonts w:ascii="宋体" w:hAnsi="宋体"/>
          <w:color w:val="000000"/>
          <w:sz w:val="28"/>
          <w:szCs w:val="28"/>
        </w:rPr>
      </w:pPr>
      <w:r>
        <w:rPr>
          <w:rFonts w:hint="eastAsia" w:ascii="宋体" w:hAnsi="宋体"/>
          <w:color w:val="000000"/>
          <w:sz w:val="28"/>
          <w:szCs w:val="28"/>
        </w:rPr>
        <w:t>2.实际数量以中标后实际订单为准。</w:t>
      </w:r>
    </w:p>
    <w:p>
      <w:pPr>
        <w:widowControl/>
        <w:snapToGrid w:val="0"/>
        <w:jc w:val="left"/>
        <w:rPr>
          <w:rFonts w:ascii="黑体" w:hAnsi="宋体" w:eastAsia="黑体"/>
          <w:color w:val="000000"/>
          <w:sz w:val="52"/>
        </w:rPr>
      </w:pPr>
    </w:p>
    <w:sectPr>
      <w:headerReference r:id="rId3" w:type="default"/>
      <w:pgSz w:w="11906" w:h="16838"/>
      <w:pgMar w:top="1560" w:right="1531" w:bottom="1134" w:left="1531" w:header="851" w:footer="850" w:gutter="0"/>
      <w:pgNumType w:start="1"/>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10" w:usb3="00000000" w:csb0="00040000" w:csb1="00000000"/>
  </w:font>
  <w:font w:name="Bodoni MT">
    <w:panose1 w:val="02070603080606020203"/>
    <w:charset w:val="00"/>
    <w:family w:val="roman"/>
    <w:pitch w:val="default"/>
    <w:sig w:usb0="00000003" w:usb1="00000000" w:usb2="00000000" w:usb3="00000000" w:csb0="20000001" w:csb1="00000000"/>
  </w:font>
  <w:font w:name="Plotter">
    <w:altName w:val="MingLiU"/>
    <w:panose1 w:val="00000000000000000000"/>
    <w:charset w:val="00"/>
    <w:family w:val="roman"/>
    <w:pitch w:val="default"/>
    <w:sig w:usb0="00000000" w:usb1="00000000" w:usb2="00000000" w:usb3="00000000" w:csb0="00000001" w:csb1="00000000"/>
  </w:font>
  <w:font w:name="方正姚体">
    <w:panose1 w:val="02010601030101010101"/>
    <w:charset w:val="86"/>
    <w:family w:val="auto"/>
    <w:pitch w:val="default"/>
    <w:sig w:usb0="00000003" w:usb1="080E0000" w:usb2="00000000" w:usb3="00000000" w:csb0="00040000" w:csb1="00000000"/>
  </w:font>
  <w:font w:name="楷体_GB2312">
    <w:altName w:val="楷体"/>
    <w:panose1 w:val="02010609030101010101"/>
    <w:charset w:val="86"/>
    <w:family w:val="modern"/>
    <w:pitch w:val="default"/>
    <w:sig w:usb0="00000000" w:usb1="00000000" w:usb2="00000010" w:usb3="00000000" w:csb0="00040000" w:csb1="00000000"/>
  </w:font>
  <w:font w:name="新宋体">
    <w:panose1 w:val="02010609030101010101"/>
    <w:charset w:val="86"/>
    <w:family w:val="modern"/>
    <w:pitch w:val="default"/>
    <w:sig w:usb0="00000003" w:usb1="288F0000" w:usb2="00000006" w:usb3="00000000" w:csb0="00040001" w:csb1="00000000"/>
  </w:font>
  <w:font w:name="仿宋">
    <w:panose1 w:val="02010609060101010101"/>
    <w:charset w:val="86"/>
    <w:family w:val="modern"/>
    <w:pitch w:val="default"/>
    <w:sig w:usb0="800002BF" w:usb1="38CF7CFA" w:usb2="00000016" w:usb3="00000000" w:csb0="00040001" w:csb1="00000000"/>
  </w:font>
  <w:font w:name="华文细黑">
    <w:panose1 w:val="02010600040101010101"/>
    <w:charset w:val="86"/>
    <w:family w:val="auto"/>
    <w:pitch w:val="default"/>
    <w:sig w:usb0="00000287" w:usb1="080F0000" w:usb2="00000000" w:usb3="00000000" w:csb0="0004009F" w:csb1="DFD70000"/>
  </w:font>
  <w:font w:name="楷体">
    <w:panose1 w:val="02010609060101010101"/>
    <w:charset w:val="86"/>
    <w:family w:val="auto"/>
    <w:pitch w:val="default"/>
    <w:sig w:usb0="800002BF" w:usb1="38CF7CFA" w:usb2="00000016" w:usb3="00000000" w:csb0="00040001"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7"/>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8E6B74"/>
    <w:multiLevelType w:val="multilevel"/>
    <w:tmpl w:val="088E6B74"/>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
    <w:nsid w:val="408F5FDA"/>
    <w:multiLevelType w:val="multilevel"/>
    <w:tmpl w:val="408F5FDA"/>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
    <w:nsid w:val="5C4220C5"/>
    <w:multiLevelType w:val="multilevel"/>
    <w:tmpl w:val="5C4220C5"/>
    <w:lvl w:ilvl="0" w:tentative="0">
      <w:start w:val="1"/>
      <w:numFmt w:val="decimal"/>
      <w:lvlText w:val="%1、"/>
      <w:lvlJc w:val="left"/>
      <w:pPr>
        <w:tabs>
          <w:tab w:val="left" w:pos="720"/>
        </w:tabs>
        <w:ind w:left="720" w:hanging="360"/>
      </w:pPr>
      <w:rPr>
        <w:rFonts w:hint="eastAsia"/>
      </w:rPr>
    </w:lvl>
    <w:lvl w:ilvl="1" w:tentative="0">
      <w:start w:val="1"/>
      <w:numFmt w:val="lowerLetter"/>
      <w:lvlText w:val="%2)"/>
      <w:lvlJc w:val="left"/>
      <w:pPr>
        <w:tabs>
          <w:tab w:val="left" w:pos="1200"/>
        </w:tabs>
        <w:ind w:left="1200" w:hanging="420"/>
      </w:pPr>
    </w:lvl>
    <w:lvl w:ilvl="2" w:tentative="0">
      <w:start w:val="1"/>
      <w:numFmt w:val="lowerRoman"/>
      <w:lvlText w:val="%3."/>
      <w:lvlJc w:val="right"/>
      <w:pPr>
        <w:tabs>
          <w:tab w:val="left" w:pos="1620"/>
        </w:tabs>
        <w:ind w:left="1620" w:hanging="420"/>
      </w:pPr>
    </w:lvl>
    <w:lvl w:ilvl="3" w:tentative="0">
      <w:start w:val="1"/>
      <w:numFmt w:val="decimal"/>
      <w:lvlText w:val="%4."/>
      <w:lvlJc w:val="left"/>
      <w:pPr>
        <w:tabs>
          <w:tab w:val="left" w:pos="2040"/>
        </w:tabs>
        <w:ind w:left="2040" w:hanging="420"/>
      </w:pPr>
    </w:lvl>
    <w:lvl w:ilvl="4" w:tentative="0">
      <w:start w:val="1"/>
      <w:numFmt w:val="lowerLetter"/>
      <w:lvlText w:val="%5)"/>
      <w:lvlJc w:val="left"/>
      <w:pPr>
        <w:tabs>
          <w:tab w:val="left" w:pos="2460"/>
        </w:tabs>
        <w:ind w:left="2460" w:hanging="420"/>
      </w:pPr>
    </w:lvl>
    <w:lvl w:ilvl="5" w:tentative="0">
      <w:start w:val="1"/>
      <w:numFmt w:val="lowerRoman"/>
      <w:lvlText w:val="%6."/>
      <w:lvlJc w:val="right"/>
      <w:pPr>
        <w:tabs>
          <w:tab w:val="left" w:pos="2880"/>
        </w:tabs>
        <w:ind w:left="2880" w:hanging="420"/>
      </w:pPr>
    </w:lvl>
    <w:lvl w:ilvl="6" w:tentative="0">
      <w:start w:val="1"/>
      <w:numFmt w:val="decimal"/>
      <w:lvlText w:val="%7."/>
      <w:lvlJc w:val="left"/>
      <w:pPr>
        <w:tabs>
          <w:tab w:val="left" w:pos="3300"/>
        </w:tabs>
        <w:ind w:left="3300" w:hanging="420"/>
      </w:pPr>
    </w:lvl>
    <w:lvl w:ilvl="7" w:tentative="0">
      <w:start w:val="1"/>
      <w:numFmt w:val="lowerLetter"/>
      <w:lvlText w:val="%8)"/>
      <w:lvlJc w:val="left"/>
      <w:pPr>
        <w:tabs>
          <w:tab w:val="left" w:pos="3720"/>
        </w:tabs>
        <w:ind w:left="3720" w:hanging="420"/>
      </w:pPr>
    </w:lvl>
    <w:lvl w:ilvl="8" w:tentative="0">
      <w:start w:val="1"/>
      <w:numFmt w:val="lowerRoman"/>
      <w:lvlText w:val="%9."/>
      <w:lvlJc w:val="right"/>
      <w:pPr>
        <w:tabs>
          <w:tab w:val="left" w:pos="4140"/>
        </w:tabs>
        <w:ind w:left="4140" w:hanging="42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2"/>
  </w:compat>
  <w:rsids>
    <w:rsidRoot w:val="00172A27"/>
    <w:rsid w:val="00005409"/>
    <w:rsid w:val="0001253C"/>
    <w:rsid w:val="0001292A"/>
    <w:rsid w:val="000164CF"/>
    <w:rsid w:val="0002129D"/>
    <w:rsid w:val="000215D7"/>
    <w:rsid w:val="000227C0"/>
    <w:rsid w:val="000257D3"/>
    <w:rsid w:val="00027561"/>
    <w:rsid w:val="00033A11"/>
    <w:rsid w:val="00035483"/>
    <w:rsid w:val="00040F32"/>
    <w:rsid w:val="0005151B"/>
    <w:rsid w:val="000541B2"/>
    <w:rsid w:val="000573E2"/>
    <w:rsid w:val="00060474"/>
    <w:rsid w:val="0006117E"/>
    <w:rsid w:val="00067B23"/>
    <w:rsid w:val="00071834"/>
    <w:rsid w:val="00071F59"/>
    <w:rsid w:val="00073A10"/>
    <w:rsid w:val="00073C6B"/>
    <w:rsid w:val="00074241"/>
    <w:rsid w:val="00074731"/>
    <w:rsid w:val="00076291"/>
    <w:rsid w:val="00077651"/>
    <w:rsid w:val="00082F05"/>
    <w:rsid w:val="0008396F"/>
    <w:rsid w:val="000851E2"/>
    <w:rsid w:val="0008598B"/>
    <w:rsid w:val="00090E26"/>
    <w:rsid w:val="0009516B"/>
    <w:rsid w:val="00095C16"/>
    <w:rsid w:val="000965BC"/>
    <w:rsid w:val="000A0B39"/>
    <w:rsid w:val="000A0C43"/>
    <w:rsid w:val="000A238A"/>
    <w:rsid w:val="000A2ACB"/>
    <w:rsid w:val="000A54B6"/>
    <w:rsid w:val="000A5DA4"/>
    <w:rsid w:val="000A5F6B"/>
    <w:rsid w:val="000B4C12"/>
    <w:rsid w:val="000B4FCD"/>
    <w:rsid w:val="000B6019"/>
    <w:rsid w:val="000B7840"/>
    <w:rsid w:val="000C2E1F"/>
    <w:rsid w:val="000C4397"/>
    <w:rsid w:val="000C51C6"/>
    <w:rsid w:val="000C6B93"/>
    <w:rsid w:val="000C7D1D"/>
    <w:rsid w:val="000D06A2"/>
    <w:rsid w:val="000D3ED5"/>
    <w:rsid w:val="000D535D"/>
    <w:rsid w:val="000D59F6"/>
    <w:rsid w:val="000D618B"/>
    <w:rsid w:val="000E2E4A"/>
    <w:rsid w:val="000E4F55"/>
    <w:rsid w:val="000E7CE6"/>
    <w:rsid w:val="000F0191"/>
    <w:rsid w:val="000F0F49"/>
    <w:rsid w:val="000F1F96"/>
    <w:rsid w:val="000F34C5"/>
    <w:rsid w:val="000F4445"/>
    <w:rsid w:val="000F623E"/>
    <w:rsid w:val="000F6D4D"/>
    <w:rsid w:val="000F7605"/>
    <w:rsid w:val="00101E00"/>
    <w:rsid w:val="00106898"/>
    <w:rsid w:val="0011050D"/>
    <w:rsid w:val="00120099"/>
    <w:rsid w:val="00120C16"/>
    <w:rsid w:val="001234EC"/>
    <w:rsid w:val="00131164"/>
    <w:rsid w:val="001328D4"/>
    <w:rsid w:val="001346B6"/>
    <w:rsid w:val="00134D3D"/>
    <w:rsid w:val="001409AE"/>
    <w:rsid w:val="00141CB7"/>
    <w:rsid w:val="00141F58"/>
    <w:rsid w:val="0014443B"/>
    <w:rsid w:val="001477F2"/>
    <w:rsid w:val="00153D65"/>
    <w:rsid w:val="0015679C"/>
    <w:rsid w:val="0016413A"/>
    <w:rsid w:val="00166DD4"/>
    <w:rsid w:val="00172A27"/>
    <w:rsid w:val="00172AAA"/>
    <w:rsid w:val="00176561"/>
    <w:rsid w:val="001779C3"/>
    <w:rsid w:val="00177B73"/>
    <w:rsid w:val="0018359A"/>
    <w:rsid w:val="001837DD"/>
    <w:rsid w:val="00183A44"/>
    <w:rsid w:val="00185379"/>
    <w:rsid w:val="00185F8C"/>
    <w:rsid w:val="0018692F"/>
    <w:rsid w:val="0018793F"/>
    <w:rsid w:val="001921B0"/>
    <w:rsid w:val="0019392E"/>
    <w:rsid w:val="001A238F"/>
    <w:rsid w:val="001A7907"/>
    <w:rsid w:val="001B003A"/>
    <w:rsid w:val="001B0859"/>
    <w:rsid w:val="001B61C9"/>
    <w:rsid w:val="001B6936"/>
    <w:rsid w:val="001C10FA"/>
    <w:rsid w:val="001C56D1"/>
    <w:rsid w:val="001D07AF"/>
    <w:rsid w:val="001D3208"/>
    <w:rsid w:val="001D57AA"/>
    <w:rsid w:val="001E5F11"/>
    <w:rsid w:val="001E6765"/>
    <w:rsid w:val="001F1C9F"/>
    <w:rsid w:val="001F43C6"/>
    <w:rsid w:val="00200300"/>
    <w:rsid w:val="002015B2"/>
    <w:rsid w:val="00205076"/>
    <w:rsid w:val="0020752A"/>
    <w:rsid w:val="0020795F"/>
    <w:rsid w:val="00210C7F"/>
    <w:rsid w:val="00216D45"/>
    <w:rsid w:val="0021788A"/>
    <w:rsid w:val="0023128B"/>
    <w:rsid w:val="00233052"/>
    <w:rsid w:val="002344AD"/>
    <w:rsid w:val="00245AE9"/>
    <w:rsid w:val="00246BDF"/>
    <w:rsid w:val="00250320"/>
    <w:rsid w:val="00250919"/>
    <w:rsid w:val="002538B3"/>
    <w:rsid w:val="00256490"/>
    <w:rsid w:val="00265957"/>
    <w:rsid w:val="00272390"/>
    <w:rsid w:val="002758AB"/>
    <w:rsid w:val="002761E5"/>
    <w:rsid w:val="00276EDB"/>
    <w:rsid w:val="00277014"/>
    <w:rsid w:val="00283719"/>
    <w:rsid w:val="00283C56"/>
    <w:rsid w:val="002A76BA"/>
    <w:rsid w:val="002B26A5"/>
    <w:rsid w:val="002B393A"/>
    <w:rsid w:val="002B70F5"/>
    <w:rsid w:val="002B7264"/>
    <w:rsid w:val="002C2393"/>
    <w:rsid w:val="002C26C5"/>
    <w:rsid w:val="002C3193"/>
    <w:rsid w:val="002C55A7"/>
    <w:rsid w:val="002D37B1"/>
    <w:rsid w:val="002D77D1"/>
    <w:rsid w:val="002D79FB"/>
    <w:rsid w:val="002E1C48"/>
    <w:rsid w:val="002E2279"/>
    <w:rsid w:val="002E39D2"/>
    <w:rsid w:val="002E4500"/>
    <w:rsid w:val="002E6F84"/>
    <w:rsid w:val="002F2555"/>
    <w:rsid w:val="002F2DD5"/>
    <w:rsid w:val="003102EA"/>
    <w:rsid w:val="00315897"/>
    <w:rsid w:val="00323FCA"/>
    <w:rsid w:val="00324A0E"/>
    <w:rsid w:val="00336480"/>
    <w:rsid w:val="00336ABE"/>
    <w:rsid w:val="00337BDB"/>
    <w:rsid w:val="00344517"/>
    <w:rsid w:val="0034739F"/>
    <w:rsid w:val="00351488"/>
    <w:rsid w:val="003562DA"/>
    <w:rsid w:val="00362715"/>
    <w:rsid w:val="003645B8"/>
    <w:rsid w:val="00370045"/>
    <w:rsid w:val="00371904"/>
    <w:rsid w:val="00372B2F"/>
    <w:rsid w:val="00374A43"/>
    <w:rsid w:val="0037562B"/>
    <w:rsid w:val="003770D2"/>
    <w:rsid w:val="00384930"/>
    <w:rsid w:val="00386B17"/>
    <w:rsid w:val="00387133"/>
    <w:rsid w:val="003911BE"/>
    <w:rsid w:val="00391CA8"/>
    <w:rsid w:val="003963F9"/>
    <w:rsid w:val="0039729D"/>
    <w:rsid w:val="003A4D1F"/>
    <w:rsid w:val="003B1167"/>
    <w:rsid w:val="003B2CEE"/>
    <w:rsid w:val="003B2E1B"/>
    <w:rsid w:val="003B31CE"/>
    <w:rsid w:val="003B5CD4"/>
    <w:rsid w:val="003C0637"/>
    <w:rsid w:val="003C0DC4"/>
    <w:rsid w:val="003C196B"/>
    <w:rsid w:val="003C2FD3"/>
    <w:rsid w:val="003C4B11"/>
    <w:rsid w:val="003C4FC4"/>
    <w:rsid w:val="003D09DE"/>
    <w:rsid w:val="003E4B2C"/>
    <w:rsid w:val="003F0C21"/>
    <w:rsid w:val="003F3A15"/>
    <w:rsid w:val="003F4BCD"/>
    <w:rsid w:val="004019E2"/>
    <w:rsid w:val="004028C7"/>
    <w:rsid w:val="00404475"/>
    <w:rsid w:val="004074F8"/>
    <w:rsid w:val="004079CD"/>
    <w:rsid w:val="004125C7"/>
    <w:rsid w:val="00412D52"/>
    <w:rsid w:val="00416991"/>
    <w:rsid w:val="004211A0"/>
    <w:rsid w:val="00425E99"/>
    <w:rsid w:val="00426768"/>
    <w:rsid w:val="004318F9"/>
    <w:rsid w:val="00432319"/>
    <w:rsid w:val="00437B43"/>
    <w:rsid w:val="00437CEF"/>
    <w:rsid w:val="00440CBE"/>
    <w:rsid w:val="00441E58"/>
    <w:rsid w:val="0044417D"/>
    <w:rsid w:val="00453C96"/>
    <w:rsid w:val="00454508"/>
    <w:rsid w:val="00454DDE"/>
    <w:rsid w:val="00460ACB"/>
    <w:rsid w:val="0047411C"/>
    <w:rsid w:val="00475EE6"/>
    <w:rsid w:val="00480994"/>
    <w:rsid w:val="004874B8"/>
    <w:rsid w:val="004879DD"/>
    <w:rsid w:val="0049161B"/>
    <w:rsid w:val="00495007"/>
    <w:rsid w:val="004A0F9A"/>
    <w:rsid w:val="004A308A"/>
    <w:rsid w:val="004A69DF"/>
    <w:rsid w:val="004A79A4"/>
    <w:rsid w:val="004B48E9"/>
    <w:rsid w:val="004C0D10"/>
    <w:rsid w:val="004C2C16"/>
    <w:rsid w:val="004C2E13"/>
    <w:rsid w:val="004C3E8A"/>
    <w:rsid w:val="004C526B"/>
    <w:rsid w:val="004C5592"/>
    <w:rsid w:val="004C6BF0"/>
    <w:rsid w:val="004D00EE"/>
    <w:rsid w:val="004D3D91"/>
    <w:rsid w:val="004D3EE7"/>
    <w:rsid w:val="004D50A6"/>
    <w:rsid w:val="004D7C8D"/>
    <w:rsid w:val="004E0355"/>
    <w:rsid w:val="004F2C84"/>
    <w:rsid w:val="004F5958"/>
    <w:rsid w:val="004F5E25"/>
    <w:rsid w:val="004F7D59"/>
    <w:rsid w:val="00500707"/>
    <w:rsid w:val="00501A52"/>
    <w:rsid w:val="00514F23"/>
    <w:rsid w:val="005210E2"/>
    <w:rsid w:val="00522B5A"/>
    <w:rsid w:val="005341FF"/>
    <w:rsid w:val="00534D9B"/>
    <w:rsid w:val="00537103"/>
    <w:rsid w:val="005379A6"/>
    <w:rsid w:val="0054087A"/>
    <w:rsid w:val="00541E21"/>
    <w:rsid w:val="00543A33"/>
    <w:rsid w:val="00544513"/>
    <w:rsid w:val="00550FE3"/>
    <w:rsid w:val="00553086"/>
    <w:rsid w:val="00553F59"/>
    <w:rsid w:val="00553FE8"/>
    <w:rsid w:val="00554BEC"/>
    <w:rsid w:val="00557DC5"/>
    <w:rsid w:val="005615FF"/>
    <w:rsid w:val="00561BC1"/>
    <w:rsid w:val="005639E5"/>
    <w:rsid w:val="00564F45"/>
    <w:rsid w:val="0056564A"/>
    <w:rsid w:val="00566645"/>
    <w:rsid w:val="005675FD"/>
    <w:rsid w:val="0057043A"/>
    <w:rsid w:val="00574435"/>
    <w:rsid w:val="005745F5"/>
    <w:rsid w:val="00575B1E"/>
    <w:rsid w:val="00576D0A"/>
    <w:rsid w:val="00576E88"/>
    <w:rsid w:val="005807F5"/>
    <w:rsid w:val="00583CF7"/>
    <w:rsid w:val="00584FB7"/>
    <w:rsid w:val="00585580"/>
    <w:rsid w:val="00587B79"/>
    <w:rsid w:val="00596E4B"/>
    <w:rsid w:val="005A5606"/>
    <w:rsid w:val="005A75CE"/>
    <w:rsid w:val="005B0055"/>
    <w:rsid w:val="005B2030"/>
    <w:rsid w:val="005B22C9"/>
    <w:rsid w:val="005B5DBC"/>
    <w:rsid w:val="005C1E33"/>
    <w:rsid w:val="005C23E9"/>
    <w:rsid w:val="005C44A4"/>
    <w:rsid w:val="005C4DCC"/>
    <w:rsid w:val="005C6ED9"/>
    <w:rsid w:val="005D3502"/>
    <w:rsid w:val="005D433E"/>
    <w:rsid w:val="005D46CC"/>
    <w:rsid w:val="005D4919"/>
    <w:rsid w:val="005E234C"/>
    <w:rsid w:val="005E4F53"/>
    <w:rsid w:val="005F04BC"/>
    <w:rsid w:val="005F0B1D"/>
    <w:rsid w:val="005F1D95"/>
    <w:rsid w:val="005F40A5"/>
    <w:rsid w:val="005F535E"/>
    <w:rsid w:val="005F5F7C"/>
    <w:rsid w:val="00600602"/>
    <w:rsid w:val="00600BCF"/>
    <w:rsid w:val="006037D8"/>
    <w:rsid w:val="00603F4F"/>
    <w:rsid w:val="00606486"/>
    <w:rsid w:val="006068DD"/>
    <w:rsid w:val="00615C73"/>
    <w:rsid w:val="00615D49"/>
    <w:rsid w:val="00616F38"/>
    <w:rsid w:val="00621890"/>
    <w:rsid w:val="00624F0D"/>
    <w:rsid w:val="006323D6"/>
    <w:rsid w:val="006356FA"/>
    <w:rsid w:val="00637142"/>
    <w:rsid w:val="0063723B"/>
    <w:rsid w:val="0064596F"/>
    <w:rsid w:val="00654987"/>
    <w:rsid w:val="00663C94"/>
    <w:rsid w:val="006641FA"/>
    <w:rsid w:val="0066571C"/>
    <w:rsid w:val="006667DE"/>
    <w:rsid w:val="006704C1"/>
    <w:rsid w:val="006709DB"/>
    <w:rsid w:val="00671C9B"/>
    <w:rsid w:val="00671EEB"/>
    <w:rsid w:val="00676033"/>
    <w:rsid w:val="0068223F"/>
    <w:rsid w:val="0068342D"/>
    <w:rsid w:val="00683E89"/>
    <w:rsid w:val="0069086D"/>
    <w:rsid w:val="00691DCA"/>
    <w:rsid w:val="0069219B"/>
    <w:rsid w:val="00693661"/>
    <w:rsid w:val="00693A52"/>
    <w:rsid w:val="006A1DDF"/>
    <w:rsid w:val="006A4766"/>
    <w:rsid w:val="006A66FD"/>
    <w:rsid w:val="006B076A"/>
    <w:rsid w:val="006B193D"/>
    <w:rsid w:val="006B452D"/>
    <w:rsid w:val="006B48F2"/>
    <w:rsid w:val="006B6E62"/>
    <w:rsid w:val="006C0F20"/>
    <w:rsid w:val="006C1A30"/>
    <w:rsid w:val="006C3428"/>
    <w:rsid w:val="006C3C20"/>
    <w:rsid w:val="006C5275"/>
    <w:rsid w:val="006C6B5B"/>
    <w:rsid w:val="006D2539"/>
    <w:rsid w:val="006D42D4"/>
    <w:rsid w:val="006D530A"/>
    <w:rsid w:val="006D6995"/>
    <w:rsid w:val="006F1189"/>
    <w:rsid w:val="006F12CE"/>
    <w:rsid w:val="006F2117"/>
    <w:rsid w:val="006F484D"/>
    <w:rsid w:val="00700446"/>
    <w:rsid w:val="00704C00"/>
    <w:rsid w:val="00707760"/>
    <w:rsid w:val="0071084B"/>
    <w:rsid w:val="00710892"/>
    <w:rsid w:val="00710AA0"/>
    <w:rsid w:val="00712270"/>
    <w:rsid w:val="00715AB8"/>
    <w:rsid w:val="00716BEF"/>
    <w:rsid w:val="00717B4C"/>
    <w:rsid w:val="00730BCF"/>
    <w:rsid w:val="00731BA2"/>
    <w:rsid w:val="007343AD"/>
    <w:rsid w:val="007456BA"/>
    <w:rsid w:val="00746CD9"/>
    <w:rsid w:val="00750D19"/>
    <w:rsid w:val="00751D12"/>
    <w:rsid w:val="007526B2"/>
    <w:rsid w:val="007549FD"/>
    <w:rsid w:val="00757269"/>
    <w:rsid w:val="00757BF2"/>
    <w:rsid w:val="00760035"/>
    <w:rsid w:val="00765291"/>
    <w:rsid w:val="00765515"/>
    <w:rsid w:val="00767C51"/>
    <w:rsid w:val="00771BF7"/>
    <w:rsid w:val="00772206"/>
    <w:rsid w:val="0077366E"/>
    <w:rsid w:val="007742F8"/>
    <w:rsid w:val="00775396"/>
    <w:rsid w:val="00775621"/>
    <w:rsid w:val="00777BBC"/>
    <w:rsid w:val="00781DCB"/>
    <w:rsid w:val="00783CC5"/>
    <w:rsid w:val="00785629"/>
    <w:rsid w:val="00791718"/>
    <w:rsid w:val="007970D4"/>
    <w:rsid w:val="007B0ADA"/>
    <w:rsid w:val="007B20A0"/>
    <w:rsid w:val="007B55B6"/>
    <w:rsid w:val="007B6DCF"/>
    <w:rsid w:val="007C22D6"/>
    <w:rsid w:val="007C2C23"/>
    <w:rsid w:val="007C6BB3"/>
    <w:rsid w:val="007D115F"/>
    <w:rsid w:val="007D1D71"/>
    <w:rsid w:val="007D30F4"/>
    <w:rsid w:val="007D39B6"/>
    <w:rsid w:val="007D45EB"/>
    <w:rsid w:val="007D68E9"/>
    <w:rsid w:val="007E70B0"/>
    <w:rsid w:val="007F0749"/>
    <w:rsid w:val="007F0E09"/>
    <w:rsid w:val="007F2A32"/>
    <w:rsid w:val="007F5B0F"/>
    <w:rsid w:val="007F63F7"/>
    <w:rsid w:val="008015FA"/>
    <w:rsid w:val="00801806"/>
    <w:rsid w:val="00801E51"/>
    <w:rsid w:val="008023ED"/>
    <w:rsid w:val="00803D7B"/>
    <w:rsid w:val="00805777"/>
    <w:rsid w:val="0080630B"/>
    <w:rsid w:val="00806EF9"/>
    <w:rsid w:val="008178C9"/>
    <w:rsid w:val="00823914"/>
    <w:rsid w:val="00827CD2"/>
    <w:rsid w:val="008402DE"/>
    <w:rsid w:val="00841719"/>
    <w:rsid w:val="00841CB7"/>
    <w:rsid w:val="00843273"/>
    <w:rsid w:val="00844ABF"/>
    <w:rsid w:val="00854152"/>
    <w:rsid w:val="00857CD3"/>
    <w:rsid w:val="00860186"/>
    <w:rsid w:val="00861243"/>
    <w:rsid w:val="00861520"/>
    <w:rsid w:val="00862513"/>
    <w:rsid w:val="008637F5"/>
    <w:rsid w:val="008660B4"/>
    <w:rsid w:val="00867813"/>
    <w:rsid w:val="00872B40"/>
    <w:rsid w:val="00876FA9"/>
    <w:rsid w:val="00883EE1"/>
    <w:rsid w:val="008866BD"/>
    <w:rsid w:val="00887E90"/>
    <w:rsid w:val="008908A1"/>
    <w:rsid w:val="00891D7E"/>
    <w:rsid w:val="008920FE"/>
    <w:rsid w:val="008937E8"/>
    <w:rsid w:val="00895CA6"/>
    <w:rsid w:val="008A007C"/>
    <w:rsid w:val="008A1E75"/>
    <w:rsid w:val="008A4B35"/>
    <w:rsid w:val="008A5597"/>
    <w:rsid w:val="008A6AB0"/>
    <w:rsid w:val="008B16B5"/>
    <w:rsid w:val="008B6BAF"/>
    <w:rsid w:val="008C052A"/>
    <w:rsid w:val="008C0C32"/>
    <w:rsid w:val="008C1431"/>
    <w:rsid w:val="008C421D"/>
    <w:rsid w:val="008C544B"/>
    <w:rsid w:val="008C710B"/>
    <w:rsid w:val="008D3A5B"/>
    <w:rsid w:val="008D3BE4"/>
    <w:rsid w:val="008D3C60"/>
    <w:rsid w:val="008D42F0"/>
    <w:rsid w:val="008D4BA6"/>
    <w:rsid w:val="008D6D50"/>
    <w:rsid w:val="008E5703"/>
    <w:rsid w:val="008F0E6E"/>
    <w:rsid w:val="008F23A1"/>
    <w:rsid w:val="008F709C"/>
    <w:rsid w:val="00911A50"/>
    <w:rsid w:val="00913CD2"/>
    <w:rsid w:val="00920DD2"/>
    <w:rsid w:val="009212F7"/>
    <w:rsid w:val="009276EF"/>
    <w:rsid w:val="00931B51"/>
    <w:rsid w:val="00937387"/>
    <w:rsid w:val="00941CDC"/>
    <w:rsid w:val="009422F0"/>
    <w:rsid w:val="009503A8"/>
    <w:rsid w:val="00951934"/>
    <w:rsid w:val="009535EF"/>
    <w:rsid w:val="00954357"/>
    <w:rsid w:val="00954BA2"/>
    <w:rsid w:val="009575F5"/>
    <w:rsid w:val="00957E37"/>
    <w:rsid w:val="00960E19"/>
    <w:rsid w:val="00962918"/>
    <w:rsid w:val="00972973"/>
    <w:rsid w:val="009740AF"/>
    <w:rsid w:val="00974CE6"/>
    <w:rsid w:val="00975D31"/>
    <w:rsid w:val="00977CE1"/>
    <w:rsid w:val="009877C5"/>
    <w:rsid w:val="00987D9F"/>
    <w:rsid w:val="00987E1A"/>
    <w:rsid w:val="00993CE3"/>
    <w:rsid w:val="00994116"/>
    <w:rsid w:val="00997186"/>
    <w:rsid w:val="009974B7"/>
    <w:rsid w:val="009A560A"/>
    <w:rsid w:val="009B00BF"/>
    <w:rsid w:val="009B1967"/>
    <w:rsid w:val="009B1BB0"/>
    <w:rsid w:val="009B45F8"/>
    <w:rsid w:val="009B46A7"/>
    <w:rsid w:val="009C02FB"/>
    <w:rsid w:val="009C4DB6"/>
    <w:rsid w:val="009C682E"/>
    <w:rsid w:val="009D4A9F"/>
    <w:rsid w:val="009D5033"/>
    <w:rsid w:val="009D7A12"/>
    <w:rsid w:val="009E4226"/>
    <w:rsid w:val="009E4B96"/>
    <w:rsid w:val="009E4E3A"/>
    <w:rsid w:val="009F095E"/>
    <w:rsid w:val="009F3C7C"/>
    <w:rsid w:val="009F6D94"/>
    <w:rsid w:val="009F7CB3"/>
    <w:rsid w:val="00A02BF0"/>
    <w:rsid w:val="00A049F5"/>
    <w:rsid w:val="00A062D8"/>
    <w:rsid w:val="00A07797"/>
    <w:rsid w:val="00A12D4C"/>
    <w:rsid w:val="00A13C01"/>
    <w:rsid w:val="00A16D5F"/>
    <w:rsid w:val="00A217E8"/>
    <w:rsid w:val="00A246DB"/>
    <w:rsid w:val="00A24FDB"/>
    <w:rsid w:val="00A25CF3"/>
    <w:rsid w:val="00A310E5"/>
    <w:rsid w:val="00A363E1"/>
    <w:rsid w:val="00A36E07"/>
    <w:rsid w:val="00A4287C"/>
    <w:rsid w:val="00A43074"/>
    <w:rsid w:val="00A43B3A"/>
    <w:rsid w:val="00A509E9"/>
    <w:rsid w:val="00A54A41"/>
    <w:rsid w:val="00A55B0F"/>
    <w:rsid w:val="00A55FD4"/>
    <w:rsid w:val="00A56946"/>
    <w:rsid w:val="00A611DD"/>
    <w:rsid w:val="00A66141"/>
    <w:rsid w:val="00A66FBE"/>
    <w:rsid w:val="00A732A0"/>
    <w:rsid w:val="00A801E7"/>
    <w:rsid w:val="00A83831"/>
    <w:rsid w:val="00A839EB"/>
    <w:rsid w:val="00A845F0"/>
    <w:rsid w:val="00A84732"/>
    <w:rsid w:val="00A94173"/>
    <w:rsid w:val="00A94987"/>
    <w:rsid w:val="00A97229"/>
    <w:rsid w:val="00A97A3E"/>
    <w:rsid w:val="00AA0B76"/>
    <w:rsid w:val="00AA116C"/>
    <w:rsid w:val="00AA4EA4"/>
    <w:rsid w:val="00AB146F"/>
    <w:rsid w:val="00AB1470"/>
    <w:rsid w:val="00AB3666"/>
    <w:rsid w:val="00AB7F86"/>
    <w:rsid w:val="00AC0090"/>
    <w:rsid w:val="00AC2777"/>
    <w:rsid w:val="00AD442E"/>
    <w:rsid w:val="00AE0831"/>
    <w:rsid w:val="00AE0DF1"/>
    <w:rsid w:val="00AE0E7B"/>
    <w:rsid w:val="00AE266E"/>
    <w:rsid w:val="00AE29F6"/>
    <w:rsid w:val="00AE4FD2"/>
    <w:rsid w:val="00AE603B"/>
    <w:rsid w:val="00AF326F"/>
    <w:rsid w:val="00AF40A1"/>
    <w:rsid w:val="00B016E9"/>
    <w:rsid w:val="00B01A19"/>
    <w:rsid w:val="00B07454"/>
    <w:rsid w:val="00B15488"/>
    <w:rsid w:val="00B16753"/>
    <w:rsid w:val="00B219D2"/>
    <w:rsid w:val="00B23D91"/>
    <w:rsid w:val="00B25184"/>
    <w:rsid w:val="00B26C03"/>
    <w:rsid w:val="00B27190"/>
    <w:rsid w:val="00B32770"/>
    <w:rsid w:val="00B32DB9"/>
    <w:rsid w:val="00B330FF"/>
    <w:rsid w:val="00B3398A"/>
    <w:rsid w:val="00B33C5B"/>
    <w:rsid w:val="00B353B3"/>
    <w:rsid w:val="00B41A6E"/>
    <w:rsid w:val="00B42BC9"/>
    <w:rsid w:val="00B4385E"/>
    <w:rsid w:val="00B44278"/>
    <w:rsid w:val="00B44D65"/>
    <w:rsid w:val="00B469A1"/>
    <w:rsid w:val="00B47341"/>
    <w:rsid w:val="00B513AB"/>
    <w:rsid w:val="00B51B15"/>
    <w:rsid w:val="00B52074"/>
    <w:rsid w:val="00B5216B"/>
    <w:rsid w:val="00B57D63"/>
    <w:rsid w:val="00B60C0B"/>
    <w:rsid w:val="00B6186E"/>
    <w:rsid w:val="00B62553"/>
    <w:rsid w:val="00B639B9"/>
    <w:rsid w:val="00B64BAD"/>
    <w:rsid w:val="00B7068A"/>
    <w:rsid w:val="00B76AE9"/>
    <w:rsid w:val="00B76BAF"/>
    <w:rsid w:val="00B81C7D"/>
    <w:rsid w:val="00B86A85"/>
    <w:rsid w:val="00B94420"/>
    <w:rsid w:val="00B9550C"/>
    <w:rsid w:val="00B9677B"/>
    <w:rsid w:val="00B972BD"/>
    <w:rsid w:val="00B97735"/>
    <w:rsid w:val="00BA31F7"/>
    <w:rsid w:val="00BA3F64"/>
    <w:rsid w:val="00BA6BEC"/>
    <w:rsid w:val="00BB1FEE"/>
    <w:rsid w:val="00BC16DB"/>
    <w:rsid w:val="00BC4902"/>
    <w:rsid w:val="00BC7CAE"/>
    <w:rsid w:val="00BD1E1A"/>
    <w:rsid w:val="00BD504D"/>
    <w:rsid w:val="00BE1786"/>
    <w:rsid w:val="00BE5EC6"/>
    <w:rsid w:val="00BF208B"/>
    <w:rsid w:val="00BF213C"/>
    <w:rsid w:val="00BF357F"/>
    <w:rsid w:val="00BF3709"/>
    <w:rsid w:val="00BF6EAB"/>
    <w:rsid w:val="00C05A47"/>
    <w:rsid w:val="00C05E01"/>
    <w:rsid w:val="00C10AB4"/>
    <w:rsid w:val="00C1246A"/>
    <w:rsid w:val="00C16C76"/>
    <w:rsid w:val="00C23166"/>
    <w:rsid w:val="00C23E85"/>
    <w:rsid w:val="00C2414A"/>
    <w:rsid w:val="00C27C8A"/>
    <w:rsid w:val="00C30D33"/>
    <w:rsid w:val="00C34CE3"/>
    <w:rsid w:val="00C40FED"/>
    <w:rsid w:val="00C4427D"/>
    <w:rsid w:val="00C52285"/>
    <w:rsid w:val="00C54AE5"/>
    <w:rsid w:val="00C54E4B"/>
    <w:rsid w:val="00C56631"/>
    <w:rsid w:val="00C60529"/>
    <w:rsid w:val="00C620E3"/>
    <w:rsid w:val="00C66D3A"/>
    <w:rsid w:val="00C71FBB"/>
    <w:rsid w:val="00C73802"/>
    <w:rsid w:val="00C75285"/>
    <w:rsid w:val="00C75451"/>
    <w:rsid w:val="00C75831"/>
    <w:rsid w:val="00C8733E"/>
    <w:rsid w:val="00C87B79"/>
    <w:rsid w:val="00C91805"/>
    <w:rsid w:val="00C91A72"/>
    <w:rsid w:val="00C93565"/>
    <w:rsid w:val="00C94313"/>
    <w:rsid w:val="00C95E8B"/>
    <w:rsid w:val="00CA0F4C"/>
    <w:rsid w:val="00CA1A59"/>
    <w:rsid w:val="00CA2B35"/>
    <w:rsid w:val="00CA36F1"/>
    <w:rsid w:val="00CA6C77"/>
    <w:rsid w:val="00CA7604"/>
    <w:rsid w:val="00CB2569"/>
    <w:rsid w:val="00CB2CA2"/>
    <w:rsid w:val="00CB7ECE"/>
    <w:rsid w:val="00CC03E8"/>
    <w:rsid w:val="00CC042D"/>
    <w:rsid w:val="00CC3328"/>
    <w:rsid w:val="00CC5B69"/>
    <w:rsid w:val="00CD2DEB"/>
    <w:rsid w:val="00CD3314"/>
    <w:rsid w:val="00CD3E05"/>
    <w:rsid w:val="00CD6D9C"/>
    <w:rsid w:val="00CF2159"/>
    <w:rsid w:val="00D00312"/>
    <w:rsid w:val="00D00ED8"/>
    <w:rsid w:val="00D00FDB"/>
    <w:rsid w:val="00D02BCB"/>
    <w:rsid w:val="00D048B0"/>
    <w:rsid w:val="00D10A43"/>
    <w:rsid w:val="00D13659"/>
    <w:rsid w:val="00D145A1"/>
    <w:rsid w:val="00D21575"/>
    <w:rsid w:val="00D26F47"/>
    <w:rsid w:val="00D27B83"/>
    <w:rsid w:val="00D31FA2"/>
    <w:rsid w:val="00D338B2"/>
    <w:rsid w:val="00D34672"/>
    <w:rsid w:val="00D34BD7"/>
    <w:rsid w:val="00D35598"/>
    <w:rsid w:val="00D36B28"/>
    <w:rsid w:val="00D36E0C"/>
    <w:rsid w:val="00D41551"/>
    <w:rsid w:val="00D456AE"/>
    <w:rsid w:val="00D45E1C"/>
    <w:rsid w:val="00D47BCC"/>
    <w:rsid w:val="00D50FB7"/>
    <w:rsid w:val="00D51A28"/>
    <w:rsid w:val="00D51FDD"/>
    <w:rsid w:val="00D526BE"/>
    <w:rsid w:val="00D5585F"/>
    <w:rsid w:val="00D65F40"/>
    <w:rsid w:val="00D67994"/>
    <w:rsid w:val="00D67EBC"/>
    <w:rsid w:val="00D73D6D"/>
    <w:rsid w:val="00D75788"/>
    <w:rsid w:val="00D767B1"/>
    <w:rsid w:val="00D801EF"/>
    <w:rsid w:val="00D81CB1"/>
    <w:rsid w:val="00D83197"/>
    <w:rsid w:val="00D854CD"/>
    <w:rsid w:val="00D87008"/>
    <w:rsid w:val="00D90E08"/>
    <w:rsid w:val="00D91638"/>
    <w:rsid w:val="00D94D6B"/>
    <w:rsid w:val="00D95EB6"/>
    <w:rsid w:val="00D9754A"/>
    <w:rsid w:val="00DA273C"/>
    <w:rsid w:val="00DA75E3"/>
    <w:rsid w:val="00DA7EB7"/>
    <w:rsid w:val="00DB21E7"/>
    <w:rsid w:val="00DB4609"/>
    <w:rsid w:val="00DB70E2"/>
    <w:rsid w:val="00DB7207"/>
    <w:rsid w:val="00DC28B0"/>
    <w:rsid w:val="00DC33A1"/>
    <w:rsid w:val="00DC4DE6"/>
    <w:rsid w:val="00DC5A75"/>
    <w:rsid w:val="00DC5AC6"/>
    <w:rsid w:val="00DD4F13"/>
    <w:rsid w:val="00DD743E"/>
    <w:rsid w:val="00DE0EEE"/>
    <w:rsid w:val="00DE22BC"/>
    <w:rsid w:val="00DE5085"/>
    <w:rsid w:val="00DE524C"/>
    <w:rsid w:val="00DF07D0"/>
    <w:rsid w:val="00DF55B4"/>
    <w:rsid w:val="00DF678A"/>
    <w:rsid w:val="00DF6F89"/>
    <w:rsid w:val="00DF7F2F"/>
    <w:rsid w:val="00E02AC8"/>
    <w:rsid w:val="00E03FE0"/>
    <w:rsid w:val="00E04BB6"/>
    <w:rsid w:val="00E060D6"/>
    <w:rsid w:val="00E12C38"/>
    <w:rsid w:val="00E13085"/>
    <w:rsid w:val="00E13762"/>
    <w:rsid w:val="00E14A59"/>
    <w:rsid w:val="00E241AF"/>
    <w:rsid w:val="00E242F9"/>
    <w:rsid w:val="00E2657A"/>
    <w:rsid w:val="00E271A4"/>
    <w:rsid w:val="00E405C0"/>
    <w:rsid w:val="00E411DC"/>
    <w:rsid w:val="00E4178C"/>
    <w:rsid w:val="00E439FF"/>
    <w:rsid w:val="00E454B8"/>
    <w:rsid w:val="00E45D54"/>
    <w:rsid w:val="00E4684D"/>
    <w:rsid w:val="00E479BF"/>
    <w:rsid w:val="00E5038B"/>
    <w:rsid w:val="00E507BD"/>
    <w:rsid w:val="00E570B3"/>
    <w:rsid w:val="00E637AD"/>
    <w:rsid w:val="00E63B62"/>
    <w:rsid w:val="00E65A02"/>
    <w:rsid w:val="00E70DEA"/>
    <w:rsid w:val="00E77D58"/>
    <w:rsid w:val="00E80EF5"/>
    <w:rsid w:val="00E85F78"/>
    <w:rsid w:val="00E9103F"/>
    <w:rsid w:val="00E91F1A"/>
    <w:rsid w:val="00E92E69"/>
    <w:rsid w:val="00E93383"/>
    <w:rsid w:val="00EA0A1B"/>
    <w:rsid w:val="00EA2CF8"/>
    <w:rsid w:val="00EA3FC4"/>
    <w:rsid w:val="00EB0744"/>
    <w:rsid w:val="00EB1F70"/>
    <w:rsid w:val="00EB2CC9"/>
    <w:rsid w:val="00EB653F"/>
    <w:rsid w:val="00EB741A"/>
    <w:rsid w:val="00EC2AD3"/>
    <w:rsid w:val="00EC498F"/>
    <w:rsid w:val="00EC4DE4"/>
    <w:rsid w:val="00EC52AE"/>
    <w:rsid w:val="00EC6432"/>
    <w:rsid w:val="00ED0543"/>
    <w:rsid w:val="00ED5878"/>
    <w:rsid w:val="00EE126C"/>
    <w:rsid w:val="00EE1A8E"/>
    <w:rsid w:val="00EF36FF"/>
    <w:rsid w:val="00EF7020"/>
    <w:rsid w:val="00F058B7"/>
    <w:rsid w:val="00F06207"/>
    <w:rsid w:val="00F06505"/>
    <w:rsid w:val="00F1346B"/>
    <w:rsid w:val="00F16137"/>
    <w:rsid w:val="00F24A87"/>
    <w:rsid w:val="00F25542"/>
    <w:rsid w:val="00F307C1"/>
    <w:rsid w:val="00F328E6"/>
    <w:rsid w:val="00F3320D"/>
    <w:rsid w:val="00F35E36"/>
    <w:rsid w:val="00F40238"/>
    <w:rsid w:val="00F4327E"/>
    <w:rsid w:val="00F51363"/>
    <w:rsid w:val="00F5240A"/>
    <w:rsid w:val="00F54B82"/>
    <w:rsid w:val="00F55FC8"/>
    <w:rsid w:val="00F659B2"/>
    <w:rsid w:val="00F6676C"/>
    <w:rsid w:val="00F677BA"/>
    <w:rsid w:val="00F72F4E"/>
    <w:rsid w:val="00F81270"/>
    <w:rsid w:val="00F82406"/>
    <w:rsid w:val="00F83BC1"/>
    <w:rsid w:val="00F85B01"/>
    <w:rsid w:val="00F900CB"/>
    <w:rsid w:val="00F90A52"/>
    <w:rsid w:val="00F93780"/>
    <w:rsid w:val="00F9466B"/>
    <w:rsid w:val="00F955FD"/>
    <w:rsid w:val="00F96BA0"/>
    <w:rsid w:val="00F96CE4"/>
    <w:rsid w:val="00FA0832"/>
    <w:rsid w:val="00FA29EF"/>
    <w:rsid w:val="00FA2C99"/>
    <w:rsid w:val="00FA5FE0"/>
    <w:rsid w:val="00FA680F"/>
    <w:rsid w:val="00FA704B"/>
    <w:rsid w:val="00FA7E95"/>
    <w:rsid w:val="00FB1C4B"/>
    <w:rsid w:val="00FB6471"/>
    <w:rsid w:val="00FC21B1"/>
    <w:rsid w:val="00FC7649"/>
    <w:rsid w:val="00FC77A4"/>
    <w:rsid w:val="00FC7B3D"/>
    <w:rsid w:val="00FD087E"/>
    <w:rsid w:val="00FD0D46"/>
    <w:rsid w:val="00FD3224"/>
    <w:rsid w:val="00FD51A9"/>
    <w:rsid w:val="00FD752D"/>
    <w:rsid w:val="00FE01FA"/>
    <w:rsid w:val="00FE2727"/>
    <w:rsid w:val="00FE60A0"/>
    <w:rsid w:val="00FF35DC"/>
    <w:rsid w:val="00FF37E1"/>
    <w:rsid w:val="31B4349C"/>
    <w:rsid w:val="4C230C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qFormat="1" w:unhideWhenUsed="0" w:uiPriority="0" w:semiHidden="0"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qFormat="1" w:unhideWhenUsed="0" w:uiPriority="0" w:semiHidden="0" w:name="toc 4"/>
    <w:lsdException w:qFormat="1" w:unhideWhenUsed="0" w:uiPriority="0" w:semiHidden="0" w:name="toc 5"/>
    <w:lsdException w:qFormat="1" w:unhideWhenUsed="0" w:uiPriority="0" w:semiHidden="0" w:name="toc 6"/>
    <w:lsdException w:unhideWhenUsed="0" w:uiPriority="0" w:semiHidden="0" w:name="toc 7"/>
    <w:lsdException w:qFormat="1" w:unhideWhenUsed="0" w:uiPriority="0" w:semiHidden="0" w:name="toc 8"/>
    <w:lsdException w:qFormat="1" w:unhideWhenUsed="0" w:uiPriority="0" w:semiHidden="0" w:name="toc 9"/>
    <w:lsdException w:qFormat="1" w:unhideWhenUsed="0" w:uiPriority="0" w:semiHidden="0" w:name="Normal Indent"/>
    <w:lsdException w:uiPriority="99" w:name="footnote text"/>
    <w:lsdException w:unhideWhenUsed="0" w:uiPriority="0" w:semiHidden="0" w:name="annotation text"/>
    <w:lsdException w:qFormat="1" w:unhideWhenUsed="0" w:uiPriority="0" w:semiHidden="0" w:name="header"/>
    <w:lsdException w:qFormat="1" w:unhideWhenUsed="0" w:uiPriority="0" w:semiHidden="0" w:name="footer"/>
    <w:lsdException w:qFormat="1" w:unhideWhenUsed="0" w:uiPriority="0" w:semiHidden="0" w:name="index heading"/>
    <w:lsdException w:qFormat="1" w:unhideWhenUsed="0" w:uiPriority="0" w:semiHidden="0" w:name="caption"/>
    <w:lsdException w:uiPriority="99" w:name="table of figures"/>
    <w:lsdException w:qFormat="1" w:unhideWhenUsed="0" w:uiPriority="0" w:semiHidden="0" w:name="envelope address"/>
    <w:lsdException w:qFormat="1" w:unhideWhenUsed="0" w:uiPriority="0" w:semiHidden="0" w:name="envelope return"/>
    <w:lsdException w:uiPriority="99" w:name="footnote reference"/>
    <w:lsdException w:qFormat="1" w:unhideWhenUsed="0" w:uiPriority="0" w:semiHidden="0" w:name="annotation reference"/>
    <w:lsdException w:qFormat="1" w:unhideWhenUsed="0" w:uiPriority="0" w:semiHidden="0"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qFormat="1" w:unhideWhenUsed="0" w:uiPriority="0" w:semiHidden="0" w:name="List"/>
    <w:lsdException w:qFormat="1" w:unhideWhenUsed="0" w:uiPriority="0" w:semiHidden="0" w:name="List Bullet"/>
    <w:lsdException w:unhideWhenUsed="0" w:uiPriority="0" w:semiHidden="0" w:name="List Number"/>
    <w:lsdException w:qFormat="1" w:unhideWhenUsed="0" w:uiPriority="0" w:semiHidden="0" w:name="List 2"/>
    <w:lsdException w:qFormat="1" w:unhideWhenUsed="0" w:uiPriority="0" w:semiHidden="0" w:name="List 3"/>
    <w:lsdException w:qFormat="1" w:unhideWhenUsed="0" w:uiPriority="0" w:semiHidden="0" w:name="List 4"/>
    <w:lsdException w:qFormat="1" w:unhideWhenUsed="0" w:uiPriority="0" w:semiHidden="0" w:name="List 5"/>
    <w:lsdException w:qFormat="1" w:unhideWhenUsed="0" w:uiPriority="0" w:semiHidden="0" w:name="List Bullet 2"/>
    <w:lsdException w:qFormat="1" w:unhideWhenUsed="0" w:uiPriority="0" w:semiHidden="0" w:name="List Bullet 3"/>
    <w:lsdException w:qFormat="1" w:unhideWhenUsed="0" w:uiPriority="0" w:semiHidden="0" w:name="List Bullet 4"/>
    <w:lsdException w:unhideWhenUsed="0" w:uiPriority="0" w:semiHidden="0" w:name="List Bullet 5"/>
    <w:lsdException w:qFormat="1" w:unhideWhenUsed="0" w:uiPriority="0" w:semiHidden="0" w:name="List Number 2"/>
    <w:lsdException w:qFormat="1" w:unhideWhenUsed="0" w:uiPriority="0" w:semiHidden="0" w:name="List Number 3"/>
    <w:lsdException w:qFormat="1" w:unhideWhenUsed="0" w:uiPriority="0" w:semiHidden="0" w:name="List Number 4"/>
    <w:lsdException w:qFormat="1" w:unhideWhenUsed="0" w:uiPriority="0" w:semiHidden="0" w:name="List Number 5"/>
    <w:lsdException w:qFormat="1" w:unhideWhenUsed="0" w:uiPriority="0" w:semiHidden="0" w:name="Title"/>
    <w:lsdException w:qFormat="1" w:unhideWhenUsed="0" w:uiPriority="0" w:semiHidden="0" w:name="Closing"/>
    <w:lsdException w:qFormat="1"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qFormat="1" w:unhideWhenUsed="0" w:uiPriority="0" w:semiHidden="0" w:name="List Continue 2"/>
    <w:lsdException w:qFormat="1" w:unhideWhenUsed="0" w:uiPriority="0" w:semiHidden="0" w:name="List Continue 3"/>
    <w:lsdException w:qFormat="1" w:unhideWhenUsed="0" w:uiPriority="0" w:semiHidden="0" w:name="List Continue 4"/>
    <w:lsdException w:qFormat="1" w:unhideWhenUsed="0" w:uiPriority="0" w:semiHidden="0" w:name="List Continue 5"/>
    <w:lsdException w:qFormat="1" w:unhideWhenUsed="0" w:uiPriority="0" w:semiHidden="0" w:name="Message Header"/>
    <w:lsdException w:qFormat="1" w:unhideWhenUsed="0" w:uiPriority="0" w:semiHidden="0" w:name="Subtitle"/>
    <w:lsdException w:qFormat="1"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qFormat="1" w:unhideWhenUsed="0" w:uiPriority="0" w:semiHidden="0" w:name="Note Heading"/>
    <w:lsdException w:qFormat="1" w:unhideWhenUsed="0" w:uiPriority="0" w:semiHidden="0" w:name="Body Text 2"/>
    <w:lsdException w:qFormat="1" w:unhideWhenUsed="0" w:uiPriority="0" w:semiHidden="0" w:name="Body Text 3"/>
    <w:lsdException w:qFormat="1" w:unhideWhenUsed="0" w:uiPriority="0" w:semiHidden="0" w:name="Body Text Indent 2"/>
    <w:lsdException w:qFormat="1" w:unhideWhenUsed="0" w:uiPriority="0" w:semiHidden="0" w:name="Body Text Indent 3"/>
    <w:lsdException w:qFormat="1"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qFormat="1" w:unhideWhenUsed="0" w:uiPriority="0" w:semiHidden="0" w:name="E-mail Signature"/>
    <w:lsdException w:qFormat="1" w:unhideWhenUsed="0" w:uiPriority="0" w:semiHidden="0" w:name="Normal (Web)"/>
    <w:lsdException w:qFormat="1" w:unhideWhenUsed="0" w:uiPriority="0" w:semiHidden="0" w:name="HTML Acronym"/>
    <w:lsdException w:unhideWhenUsed="0" w:uiPriority="0" w:semiHidden="0" w:name="HTML Address"/>
    <w:lsdException w:qFormat="1" w:unhideWhenUsed="0" w:uiPriority="0" w:semiHidden="0" w:name="HTML Cite"/>
    <w:lsdException w:qFormat="1" w:unhideWhenUsed="0" w:uiPriority="0" w:semiHidden="0" w:name="HTML Code"/>
    <w:lsdException w:qFormat="1" w:unhideWhenUsed="0" w:uiPriority="0" w:semiHidden="0" w:name="HTML Definition"/>
    <w:lsdException w:qFormat="1" w:unhideWhenUsed="0" w:uiPriority="0" w:semiHidden="0" w:name="HTML Keyboard"/>
    <w:lsdException w:qFormat="1" w:unhideWhenUsed="0" w:uiPriority="0" w:semiHidden="0" w:name="HTML Preformatted"/>
    <w:lsdException w:qFormat="1" w:unhideWhenUsed="0" w:uiPriority="0" w:semiHidden="0" w:name="HTML Sample"/>
    <w:lsdException w:qFormat="1"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nhideWhenUsed="0" w:uiPriority="0" w:semiHidden="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102"/>
    <w:qFormat/>
    <w:uiPriority w:val="0"/>
    <w:pPr>
      <w:keepNext/>
      <w:keepLines/>
      <w:adjustRightInd w:val="0"/>
      <w:spacing w:before="340" w:after="330" w:line="578" w:lineRule="atLeast"/>
      <w:outlineLvl w:val="0"/>
    </w:pPr>
    <w:rPr>
      <w:b/>
      <w:kern w:val="44"/>
      <w:sz w:val="44"/>
      <w:szCs w:val="20"/>
    </w:rPr>
  </w:style>
  <w:style w:type="paragraph" w:styleId="3">
    <w:name w:val="heading 2"/>
    <w:basedOn w:val="1"/>
    <w:next w:val="1"/>
    <w:link w:val="89"/>
    <w:qFormat/>
    <w:uiPriority w:val="0"/>
    <w:pPr>
      <w:keepNext/>
      <w:keepLines/>
      <w:autoSpaceDE w:val="0"/>
      <w:autoSpaceDN w:val="0"/>
      <w:adjustRightInd w:val="0"/>
      <w:spacing w:before="260" w:after="260" w:line="416" w:lineRule="atLeast"/>
      <w:jc w:val="left"/>
      <w:textAlignment w:val="baseline"/>
      <w:outlineLvl w:val="1"/>
    </w:pPr>
    <w:rPr>
      <w:rFonts w:ascii="Arial" w:hAnsi="Arial" w:eastAsia="黑体"/>
      <w:kern w:val="0"/>
      <w:sz w:val="32"/>
      <w:szCs w:val="20"/>
    </w:rPr>
  </w:style>
  <w:style w:type="paragraph" w:styleId="4">
    <w:name w:val="heading 3"/>
    <w:basedOn w:val="1"/>
    <w:next w:val="1"/>
    <w:link w:val="93"/>
    <w:qFormat/>
    <w:uiPriority w:val="0"/>
    <w:pPr>
      <w:keepNext/>
      <w:keepLines/>
      <w:autoSpaceDE w:val="0"/>
      <w:autoSpaceDN w:val="0"/>
      <w:adjustRightInd w:val="0"/>
      <w:spacing w:before="260" w:after="260" w:line="416" w:lineRule="atLeast"/>
      <w:textAlignment w:val="baseline"/>
      <w:outlineLvl w:val="2"/>
    </w:pPr>
    <w:rPr>
      <w:rFonts w:ascii="Arial" w:hAnsi="Arial" w:eastAsia="黑体"/>
      <w:kern w:val="0"/>
      <w:sz w:val="28"/>
      <w:szCs w:val="20"/>
    </w:rPr>
  </w:style>
  <w:style w:type="paragraph" w:styleId="5">
    <w:name w:val="heading 4"/>
    <w:basedOn w:val="1"/>
    <w:next w:val="1"/>
    <w:link w:val="103"/>
    <w:qFormat/>
    <w:uiPriority w:val="0"/>
    <w:pPr>
      <w:keepNext/>
      <w:snapToGrid w:val="0"/>
      <w:spacing w:beforeLines="20" w:afterLines="20"/>
      <w:jc w:val="center"/>
      <w:outlineLvl w:val="3"/>
    </w:pPr>
    <w:rPr>
      <w:sz w:val="18"/>
      <w:szCs w:val="18"/>
    </w:rPr>
  </w:style>
  <w:style w:type="paragraph" w:styleId="6">
    <w:name w:val="heading 5"/>
    <w:basedOn w:val="1"/>
    <w:next w:val="1"/>
    <w:qFormat/>
    <w:uiPriority w:val="0"/>
    <w:pPr>
      <w:keepNext/>
      <w:outlineLvl w:val="4"/>
    </w:pPr>
    <w:rPr>
      <w:rFonts w:ascii="宋体" w:hAnsi="宋体"/>
      <w:color w:val="000000"/>
      <w:kern w:val="0"/>
      <w:szCs w:val="30"/>
    </w:rPr>
  </w:style>
  <w:style w:type="paragraph" w:styleId="7">
    <w:name w:val="heading 6"/>
    <w:basedOn w:val="1"/>
    <w:next w:val="8"/>
    <w:qFormat/>
    <w:uiPriority w:val="0"/>
    <w:pPr>
      <w:keepNext/>
      <w:widowControl/>
      <w:overflowPunct w:val="0"/>
      <w:autoSpaceDE w:val="0"/>
      <w:autoSpaceDN w:val="0"/>
      <w:adjustRightInd w:val="0"/>
      <w:spacing w:line="500" w:lineRule="exact"/>
      <w:ind w:left="-108" w:right="-109"/>
      <w:jc w:val="center"/>
      <w:textAlignment w:val="baseline"/>
      <w:outlineLvl w:val="5"/>
    </w:pPr>
    <w:rPr>
      <w:rFonts w:ascii="宋体"/>
      <w:b/>
      <w:kern w:val="0"/>
      <w:szCs w:val="20"/>
    </w:rPr>
  </w:style>
  <w:style w:type="paragraph" w:styleId="9">
    <w:name w:val="heading 7"/>
    <w:basedOn w:val="1"/>
    <w:next w:val="8"/>
    <w:qFormat/>
    <w:uiPriority w:val="0"/>
    <w:pPr>
      <w:keepNext/>
      <w:widowControl/>
      <w:overflowPunct w:val="0"/>
      <w:autoSpaceDE w:val="0"/>
      <w:autoSpaceDN w:val="0"/>
      <w:adjustRightInd w:val="0"/>
      <w:spacing w:line="500" w:lineRule="exact"/>
      <w:ind w:left="-108" w:right="-82"/>
      <w:jc w:val="center"/>
      <w:textAlignment w:val="baseline"/>
      <w:outlineLvl w:val="6"/>
    </w:pPr>
    <w:rPr>
      <w:rFonts w:ascii="宋体"/>
      <w:b/>
      <w:kern w:val="0"/>
      <w:szCs w:val="20"/>
    </w:rPr>
  </w:style>
  <w:style w:type="paragraph" w:styleId="10">
    <w:name w:val="heading 8"/>
    <w:basedOn w:val="1"/>
    <w:next w:val="8"/>
    <w:qFormat/>
    <w:uiPriority w:val="0"/>
    <w:pPr>
      <w:keepNext/>
      <w:widowControl/>
      <w:overflowPunct w:val="0"/>
      <w:autoSpaceDE w:val="0"/>
      <w:autoSpaceDN w:val="0"/>
      <w:adjustRightInd w:val="0"/>
      <w:spacing w:line="500" w:lineRule="exact"/>
      <w:ind w:left="-108" w:right="326"/>
      <w:jc w:val="center"/>
      <w:textAlignment w:val="baseline"/>
      <w:outlineLvl w:val="7"/>
    </w:pPr>
    <w:rPr>
      <w:rFonts w:ascii="宋体"/>
      <w:b/>
      <w:kern w:val="0"/>
      <w:szCs w:val="20"/>
    </w:rPr>
  </w:style>
  <w:style w:type="paragraph" w:styleId="11">
    <w:name w:val="heading 9"/>
    <w:basedOn w:val="1"/>
    <w:next w:val="1"/>
    <w:qFormat/>
    <w:uiPriority w:val="0"/>
    <w:pPr>
      <w:keepNext/>
      <w:keepLines/>
      <w:spacing w:before="240" w:after="64" w:line="317" w:lineRule="auto"/>
      <w:outlineLvl w:val="8"/>
    </w:pPr>
    <w:rPr>
      <w:rFonts w:ascii="Arial" w:hAnsi="Arial" w:eastAsia="黑体"/>
      <w:szCs w:val="20"/>
    </w:rPr>
  </w:style>
  <w:style w:type="character" w:default="1" w:styleId="73">
    <w:name w:val="Default Paragraph Font"/>
    <w:semiHidden/>
    <w:unhideWhenUsed/>
    <w:qFormat/>
    <w:uiPriority w:val="1"/>
  </w:style>
  <w:style w:type="table" w:default="1" w:styleId="71">
    <w:name w:val="Normal Table"/>
    <w:semiHidden/>
    <w:unhideWhenUsed/>
    <w:qFormat/>
    <w:uiPriority w:val="99"/>
    <w:tblPr>
      <w:tblLayout w:type="fixed"/>
      <w:tblCellMar>
        <w:top w:w="0" w:type="dxa"/>
        <w:left w:w="108" w:type="dxa"/>
        <w:bottom w:w="0" w:type="dxa"/>
        <w:right w:w="108" w:type="dxa"/>
      </w:tblCellMar>
    </w:tblPr>
  </w:style>
  <w:style w:type="paragraph" w:styleId="8">
    <w:name w:val="Normal Indent"/>
    <w:basedOn w:val="1"/>
    <w:qFormat/>
    <w:uiPriority w:val="0"/>
    <w:pPr>
      <w:spacing w:line="500" w:lineRule="exact"/>
      <w:ind w:firstLine="420"/>
    </w:pPr>
    <w:rPr>
      <w:sz w:val="28"/>
      <w:szCs w:val="20"/>
    </w:rPr>
  </w:style>
  <w:style w:type="paragraph" w:styleId="12">
    <w:name w:val="List 3"/>
    <w:basedOn w:val="1"/>
    <w:qFormat/>
    <w:uiPriority w:val="0"/>
    <w:pPr>
      <w:ind w:left="1260" w:hanging="420"/>
    </w:pPr>
    <w:rPr>
      <w:szCs w:val="20"/>
    </w:rPr>
  </w:style>
  <w:style w:type="paragraph" w:styleId="13">
    <w:name w:val="toc 7"/>
    <w:basedOn w:val="1"/>
    <w:next w:val="1"/>
    <w:uiPriority w:val="0"/>
    <w:pPr>
      <w:wordWrap w:val="0"/>
      <w:overflowPunct w:val="0"/>
      <w:autoSpaceDE w:val="0"/>
      <w:autoSpaceDN w:val="0"/>
      <w:adjustRightInd w:val="0"/>
      <w:spacing w:line="353" w:lineRule="auto"/>
      <w:ind w:left="1440"/>
      <w:jc w:val="left"/>
      <w:textAlignment w:val="baseline"/>
    </w:pPr>
    <w:rPr>
      <w:kern w:val="0"/>
      <w:sz w:val="18"/>
      <w:szCs w:val="20"/>
    </w:rPr>
  </w:style>
  <w:style w:type="paragraph" w:styleId="14">
    <w:name w:val="List Number 2"/>
    <w:basedOn w:val="1"/>
    <w:qFormat/>
    <w:uiPriority w:val="0"/>
    <w:pPr>
      <w:tabs>
        <w:tab w:val="left" w:pos="360"/>
        <w:tab w:val="left" w:pos="780"/>
      </w:tabs>
      <w:ind w:left="360" w:hanging="360"/>
    </w:pPr>
    <w:rPr>
      <w:szCs w:val="20"/>
    </w:rPr>
  </w:style>
  <w:style w:type="paragraph" w:styleId="15">
    <w:name w:val="Note Heading"/>
    <w:basedOn w:val="1"/>
    <w:next w:val="1"/>
    <w:qFormat/>
    <w:uiPriority w:val="0"/>
    <w:pPr>
      <w:jc w:val="center"/>
    </w:pPr>
    <w:rPr>
      <w:szCs w:val="20"/>
    </w:rPr>
  </w:style>
  <w:style w:type="paragraph" w:styleId="16">
    <w:name w:val="List Bullet 4"/>
    <w:basedOn w:val="1"/>
    <w:qFormat/>
    <w:uiPriority w:val="0"/>
    <w:pPr>
      <w:tabs>
        <w:tab w:val="left" w:pos="360"/>
        <w:tab w:val="left" w:pos="1620"/>
      </w:tabs>
    </w:pPr>
    <w:rPr>
      <w:szCs w:val="20"/>
    </w:rPr>
  </w:style>
  <w:style w:type="paragraph" w:styleId="17">
    <w:name w:val="E-mail Signature"/>
    <w:basedOn w:val="1"/>
    <w:qFormat/>
    <w:uiPriority w:val="0"/>
    <w:rPr>
      <w:szCs w:val="20"/>
    </w:rPr>
  </w:style>
  <w:style w:type="paragraph" w:styleId="18">
    <w:name w:val="List Number"/>
    <w:basedOn w:val="1"/>
    <w:uiPriority w:val="0"/>
    <w:pPr>
      <w:tabs>
        <w:tab w:val="left" w:pos="360"/>
        <w:tab w:val="left" w:pos="718"/>
      </w:tabs>
      <w:ind w:left="718" w:hanging="360"/>
    </w:pPr>
    <w:rPr>
      <w:szCs w:val="20"/>
    </w:rPr>
  </w:style>
  <w:style w:type="paragraph" w:styleId="19">
    <w:name w:val="caption"/>
    <w:basedOn w:val="1"/>
    <w:next w:val="1"/>
    <w:qFormat/>
    <w:uiPriority w:val="0"/>
    <w:pPr>
      <w:spacing w:before="152" w:after="160"/>
    </w:pPr>
    <w:rPr>
      <w:rFonts w:ascii="Arial" w:hAnsi="Arial" w:eastAsia="黑体"/>
      <w:sz w:val="20"/>
      <w:szCs w:val="20"/>
    </w:rPr>
  </w:style>
  <w:style w:type="paragraph" w:styleId="20">
    <w:name w:val="List Bullet"/>
    <w:basedOn w:val="1"/>
    <w:qFormat/>
    <w:uiPriority w:val="0"/>
    <w:pPr>
      <w:tabs>
        <w:tab w:val="left" w:pos="360"/>
      </w:tabs>
    </w:pPr>
    <w:rPr>
      <w:szCs w:val="20"/>
    </w:rPr>
  </w:style>
  <w:style w:type="paragraph" w:styleId="21">
    <w:name w:val="envelope address"/>
    <w:basedOn w:val="1"/>
    <w:qFormat/>
    <w:uiPriority w:val="0"/>
    <w:pPr>
      <w:snapToGrid w:val="0"/>
      <w:ind w:left="2880"/>
    </w:pPr>
    <w:rPr>
      <w:rFonts w:ascii="Arial" w:hAnsi="Arial"/>
      <w:sz w:val="24"/>
      <w:szCs w:val="20"/>
    </w:rPr>
  </w:style>
  <w:style w:type="paragraph" w:styleId="22">
    <w:name w:val="Document Map"/>
    <w:basedOn w:val="1"/>
    <w:qFormat/>
    <w:uiPriority w:val="0"/>
    <w:pPr>
      <w:shd w:val="clear" w:color="auto" w:fill="000080"/>
    </w:pPr>
    <w:rPr>
      <w:szCs w:val="20"/>
    </w:rPr>
  </w:style>
  <w:style w:type="paragraph" w:styleId="23">
    <w:name w:val="annotation text"/>
    <w:basedOn w:val="1"/>
    <w:link w:val="91"/>
    <w:uiPriority w:val="0"/>
    <w:pPr>
      <w:jc w:val="left"/>
    </w:pPr>
    <w:rPr>
      <w:szCs w:val="20"/>
    </w:rPr>
  </w:style>
  <w:style w:type="paragraph" w:styleId="24">
    <w:name w:val="Salutation"/>
    <w:basedOn w:val="1"/>
    <w:next w:val="1"/>
    <w:qFormat/>
    <w:uiPriority w:val="0"/>
    <w:rPr>
      <w:szCs w:val="20"/>
    </w:rPr>
  </w:style>
  <w:style w:type="paragraph" w:styleId="25">
    <w:name w:val="Body Text 3"/>
    <w:basedOn w:val="1"/>
    <w:qFormat/>
    <w:uiPriority w:val="0"/>
    <w:pPr>
      <w:spacing w:after="120"/>
    </w:pPr>
    <w:rPr>
      <w:sz w:val="16"/>
      <w:szCs w:val="20"/>
    </w:rPr>
  </w:style>
  <w:style w:type="paragraph" w:styleId="26">
    <w:name w:val="Closing"/>
    <w:basedOn w:val="1"/>
    <w:qFormat/>
    <w:uiPriority w:val="0"/>
    <w:pPr>
      <w:ind w:left="4320"/>
    </w:pPr>
    <w:rPr>
      <w:szCs w:val="20"/>
    </w:rPr>
  </w:style>
  <w:style w:type="paragraph" w:styleId="27">
    <w:name w:val="List Bullet 3"/>
    <w:basedOn w:val="1"/>
    <w:qFormat/>
    <w:uiPriority w:val="0"/>
    <w:pPr>
      <w:tabs>
        <w:tab w:val="left" w:pos="360"/>
        <w:tab w:val="left" w:pos="1200"/>
      </w:tabs>
      <w:ind w:left="360" w:hanging="360"/>
    </w:pPr>
    <w:rPr>
      <w:szCs w:val="20"/>
    </w:rPr>
  </w:style>
  <w:style w:type="paragraph" w:styleId="28">
    <w:name w:val="Body Text"/>
    <w:basedOn w:val="1"/>
    <w:link w:val="108"/>
    <w:qFormat/>
    <w:uiPriority w:val="0"/>
    <w:rPr>
      <w:color w:val="000000"/>
      <w:szCs w:val="20"/>
    </w:rPr>
  </w:style>
  <w:style w:type="paragraph" w:styleId="29">
    <w:name w:val="Body Text Indent"/>
    <w:basedOn w:val="1"/>
    <w:link w:val="90"/>
    <w:qFormat/>
    <w:uiPriority w:val="0"/>
    <w:pPr>
      <w:autoSpaceDE w:val="0"/>
      <w:autoSpaceDN w:val="0"/>
      <w:adjustRightInd w:val="0"/>
      <w:spacing w:line="360" w:lineRule="auto"/>
      <w:ind w:firstLine="480"/>
      <w:jc w:val="left"/>
      <w:textAlignment w:val="baseline"/>
    </w:pPr>
    <w:rPr>
      <w:kern w:val="0"/>
      <w:sz w:val="24"/>
      <w:szCs w:val="20"/>
    </w:rPr>
  </w:style>
  <w:style w:type="paragraph" w:styleId="30">
    <w:name w:val="List Number 3"/>
    <w:basedOn w:val="1"/>
    <w:qFormat/>
    <w:uiPriority w:val="0"/>
    <w:pPr>
      <w:tabs>
        <w:tab w:val="left" w:pos="1200"/>
      </w:tabs>
      <w:ind w:left="1200" w:hanging="360"/>
    </w:pPr>
    <w:rPr>
      <w:szCs w:val="20"/>
    </w:rPr>
  </w:style>
  <w:style w:type="paragraph" w:styleId="31">
    <w:name w:val="List 2"/>
    <w:basedOn w:val="1"/>
    <w:qFormat/>
    <w:uiPriority w:val="0"/>
    <w:pPr>
      <w:ind w:left="840" w:hanging="420"/>
    </w:pPr>
    <w:rPr>
      <w:szCs w:val="20"/>
    </w:rPr>
  </w:style>
  <w:style w:type="paragraph" w:styleId="32">
    <w:name w:val="List Continue"/>
    <w:basedOn w:val="1"/>
    <w:uiPriority w:val="0"/>
    <w:pPr>
      <w:spacing w:after="120"/>
      <w:ind w:left="420"/>
    </w:pPr>
    <w:rPr>
      <w:szCs w:val="20"/>
    </w:rPr>
  </w:style>
  <w:style w:type="paragraph" w:styleId="33">
    <w:name w:val="Block Text"/>
    <w:basedOn w:val="1"/>
    <w:qFormat/>
    <w:uiPriority w:val="0"/>
    <w:pPr>
      <w:spacing w:after="120"/>
      <w:ind w:left="1440" w:right="1440"/>
    </w:pPr>
    <w:rPr>
      <w:szCs w:val="20"/>
    </w:rPr>
  </w:style>
  <w:style w:type="paragraph" w:styleId="34">
    <w:name w:val="List Bullet 2"/>
    <w:basedOn w:val="1"/>
    <w:qFormat/>
    <w:uiPriority w:val="0"/>
    <w:pPr>
      <w:tabs>
        <w:tab w:val="left" w:pos="780"/>
      </w:tabs>
    </w:pPr>
    <w:rPr>
      <w:szCs w:val="20"/>
    </w:rPr>
  </w:style>
  <w:style w:type="paragraph" w:styleId="35">
    <w:name w:val="HTML Address"/>
    <w:basedOn w:val="1"/>
    <w:uiPriority w:val="0"/>
    <w:rPr>
      <w:i/>
      <w:szCs w:val="20"/>
    </w:rPr>
  </w:style>
  <w:style w:type="paragraph" w:styleId="36">
    <w:name w:val="toc 5"/>
    <w:basedOn w:val="1"/>
    <w:next w:val="1"/>
    <w:qFormat/>
    <w:uiPriority w:val="0"/>
    <w:pPr>
      <w:wordWrap w:val="0"/>
      <w:overflowPunct w:val="0"/>
      <w:autoSpaceDE w:val="0"/>
      <w:autoSpaceDN w:val="0"/>
      <w:adjustRightInd w:val="0"/>
      <w:spacing w:line="353" w:lineRule="auto"/>
      <w:ind w:left="960"/>
      <w:jc w:val="left"/>
      <w:textAlignment w:val="baseline"/>
    </w:pPr>
    <w:rPr>
      <w:kern w:val="0"/>
      <w:sz w:val="18"/>
      <w:szCs w:val="20"/>
    </w:rPr>
  </w:style>
  <w:style w:type="paragraph" w:styleId="37">
    <w:name w:val="Plain Text"/>
    <w:basedOn w:val="1"/>
    <w:qFormat/>
    <w:uiPriority w:val="0"/>
    <w:rPr>
      <w:rFonts w:ascii="宋体" w:hAnsi="Courier New"/>
      <w:szCs w:val="20"/>
    </w:rPr>
  </w:style>
  <w:style w:type="paragraph" w:styleId="38">
    <w:name w:val="List Bullet 5"/>
    <w:basedOn w:val="1"/>
    <w:uiPriority w:val="0"/>
    <w:pPr>
      <w:tabs>
        <w:tab w:val="left" w:pos="360"/>
        <w:tab w:val="left" w:pos="2040"/>
      </w:tabs>
      <w:ind w:left="360" w:hanging="360"/>
    </w:pPr>
    <w:rPr>
      <w:szCs w:val="20"/>
    </w:rPr>
  </w:style>
  <w:style w:type="paragraph" w:styleId="39">
    <w:name w:val="List Number 4"/>
    <w:basedOn w:val="1"/>
    <w:qFormat/>
    <w:uiPriority w:val="0"/>
    <w:pPr>
      <w:tabs>
        <w:tab w:val="left" w:pos="780"/>
        <w:tab w:val="left" w:pos="1620"/>
      </w:tabs>
      <w:ind w:left="780" w:hanging="360"/>
    </w:pPr>
    <w:rPr>
      <w:szCs w:val="20"/>
    </w:rPr>
  </w:style>
  <w:style w:type="paragraph" w:styleId="40">
    <w:name w:val="toc 8"/>
    <w:basedOn w:val="1"/>
    <w:next w:val="1"/>
    <w:qFormat/>
    <w:uiPriority w:val="0"/>
    <w:pPr>
      <w:wordWrap w:val="0"/>
      <w:overflowPunct w:val="0"/>
      <w:autoSpaceDE w:val="0"/>
      <w:autoSpaceDN w:val="0"/>
      <w:adjustRightInd w:val="0"/>
      <w:spacing w:line="353" w:lineRule="auto"/>
      <w:ind w:left="1680"/>
      <w:jc w:val="left"/>
      <w:textAlignment w:val="baseline"/>
    </w:pPr>
    <w:rPr>
      <w:kern w:val="0"/>
      <w:sz w:val="18"/>
      <w:szCs w:val="20"/>
    </w:rPr>
  </w:style>
  <w:style w:type="paragraph" w:styleId="41">
    <w:name w:val="Date"/>
    <w:basedOn w:val="1"/>
    <w:next w:val="1"/>
    <w:link w:val="99"/>
    <w:uiPriority w:val="0"/>
    <w:pPr>
      <w:ind w:left="100" w:leftChars="2500"/>
    </w:pPr>
    <w:rPr>
      <w:b/>
      <w:sz w:val="24"/>
      <w:szCs w:val="20"/>
    </w:rPr>
  </w:style>
  <w:style w:type="paragraph" w:styleId="42">
    <w:name w:val="Body Text Indent 2"/>
    <w:basedOn w:val="1"/>
    <w:link w:val="100"/>
    <w:qFormat/>
    <w:uiPriority w:val="0"/>
    <w:pPr>
      <w:autoSpaceDE w:val="0"/>
      <w:autoSpaceDN w:val="0"/>
      <w:adjustRightInd w:val="0"/>
      <w:spacing w:line="360" w:lineRule="auto"/>
      <w:ind w:firstLine="480" w:firstLineChars="200"/>
    </w:pPr>
    <w:rPr>
      <w:rFonts w:ascii="宋体"/>
      <w:color w:val="000000"/>
      <w:sz w:val="24"/>
      <w:szCs w:val="20"/>
    </w:rPr>
  </w:style>
  <w:style w:type="paragraph" w:styleId="43">
    <w:name w:val="List Continue 5"/>
    <w:basedOn w:val="1"/>
    <w:qFormat/>
    <w:uiPriority w:val="0"/>
    <w:pPr>
      <w:spacing w:after="120"/>
      <w:ind w:left="2100"/>
    </w:pPr>
    <w:rPr>
      <w:szCs w:val="20"/>
    </w:rPr>
  </w:style>
  <w:style w:type="paragraph" w:styleId="44">
    <w:name w:val="Balloon Text"/>
    <w:basedOn w:val="1"/>
    <w:link w:val="96"/>
    <w:uiPriority w:val="0"/>
    <w:rPr>
      <w:sz w:val="18"/>
      <w:szCs w:val="18"/>
    </w:rPr>
  </w:style>
  <w:style w:type="paragraph" w:styleId="45">
    <w:name w:val="footer"/>
    <w:basedOn w:val="1"/>
    <w:link w:val="107"/>
    <w:qFormat/>
    <w:uiPriority w:val="0"/>
    <w:pPr>
      <w:tabs>
        <w:tab w:val="center" w:pos="4153"/>
        <w:tab w:val="right" w:pos="8306"/>
      </w:tabs>
      <w:autoSpaceDE w:val="0"/>
      <w:autoSpaceDN w:val="0"/>
      <w:adjustRightInd w:val="0"/>
      <w:jc w:val="left"/>
      <w:textAlignment w:val="baseline"/>
    </w:pPr>
    <w:rPr>
      <w:sz w:val="18"/>
      <w:szCs w:val="20"/>
    </w:rPr>
  </w:style>
  <w:style w:type="paragraph" w:styleId="46">
    <w:name w:val="envelope return"/>
    <w:basedOn w:val="1"/>
    <w:qFormat/>
    <w:uiPriority w:val="0"/>
    <w:pPr>
      <w:snapToGrid w:val="0"/>
    </w:pPr>
    <w:rPr>
      <w:rFonts w:ascii="Arial" w:hAnsi="Arial"/>
      <w:szCs w:val="20"/>
    </w:rPr>
  </w:style>
  <w:style w:type="paragraph" w:styleId="47">
    <w:name w:val="header"/>
    <w:basedOn w:val="1"/>
    <w:link w:val="94"/>
    <w:qFormat/>
    <w:uiPriority w:val="0"/>
    <w:pPr>
      <w:pBdr>
        <w:bottom w:val="single" w:color="auto" w:sz="6" w:space="1"/>
      </w:pBdr>
      <w:tabs>
        <w:tab w:val="center" w:pos="4153"/>
        <w:tab w:val="right" w:pos="8306"/>
      </w:tabs>
      <w:autoSpaceDE w:val="0"/>
      <w:autoSpaceDN w:val="0"/>
      <w:adjustRightInd w:val="0"/>
      <w:jc w:val="center"/>
      <w:textAlignment w:val="baseline"/>
    </w:pPr>
    <w:rPr>
      <w:sz w:val="18"/>
      <w:szCs w:val="20"/>
    </w:rPr>
  </w:style>
  <w:style w:type="paragraph" w:styleId="48">
    <w:name w:val="Signature"/>
    <w:basedOn w:val="1"/>
    <w:qFormat/>
    <w:uiPriority w:val="0"/>
    <w:pPr>
      <w:ind w:left="4320"/>
    </w:pPr>
    <w:rPr>
      <w:szCs w:val="20"/>
    </w:rPr>
  </w:style>
  <w:style w:type="paragraph" w:styleId="49">
    <w:name w:val="List Continue 4"/>
    <w:basedOn w:val="1"/>
    <w:qFormat/>
    <w:uiPriority w:val="0"/>
    <w:pPr>
      <w:spacing w:after="120"/>
      <w:ind w:left="1680"/>
    </w:pPr>
    <w:rPr>
      <w:szCs w:val="20"/>
    </w:rPr>
  </w:style>
  <w:style w:type="paragraph" w:styleId="50">
    <w:name w:val="toc 4"/>
    <w:basedOn w:val="1"/>
    <w:next w:val="1"/>
    <w:qFormat/>
    <w:uiPriority w:val="0"/>
    <w:pPr>
      <w:wordWrap w:val="0"/>
      <w:overflowPunct w:val="0"/>
      <w:autoSpaceDE w:val="0"/>
      <w:autoSpaceDN w:val="0"/>
      <w:adjustRightInd w:val="0"/>
      <w:spacing w:line="353" w:lineRule="auto"/>
      <w:ind w:left="720"/>
      <w:jc w:val="left"/>
      <w:textAlignment w:val="baseline"/>
    </w:pPr>
    <w:rPr>
      <w:kern w:val="0"/>
      <w:sz w:val="18"/>
      <w:szCs w:val="20"/>
    </w:rPr>
  </w:style>
  <w:style w:type="paragraph" w:styleId="51">
    <w:name w:val="index heading"/>
    <w:basedOn w:val="1"/>
    <w:next w:val="52"/>
    <w:qFormat/>
    <w:uiPriority w:val="0"/>
    <w:pPr>
      <w:adjustRightInd w:val="0"/>
      <w:spacing w:line="490" w:lineRule="exact"/>
      <w:ind w:firstLine="556"/>
      <w:textAlignment w:val="baseline"/>
    </w:pPr>
    <w:rPr>
      <w:rFonts w:eastAsia="仿宋_GB2312"/>
      <w:kern w:val="0"/>
      <w:sz w:val="28"/>
      <w:szCs w:val="20"/>
    </w:rPr>
  </w:style>
  <w:style w:type="paragraph" w:styleId="52">
    <w:name w:val="index 1"/>
    <w:basedOn w:val="1"/>
    <w:next w:val="1"/>
    <w:qFormat/>
    <w:uiPriority w:val="0"/>
    <w:rPr>
      <w:rFonts w:ascii="Bodoni MT" w:hAnsi="Bodoni MT"/>
      <w:szCs w:val="20"/>
    </w:rPr>
  </w:style>
  <w:style w:type="paragraph" w:styleId="53">
    <w:name w:val="Subtitle"/>
    <w:basedOn w:val="1"/>
    <w:qFormat/>
    <w:uiPriority w:val="0"/>
    <w:pPr>
      <w:spacing w:before="240" w:after="60" w:line="312" w:lineRule="auto"/>
      <w:jc w:val="center"/>
      <w:outlineLvl w:val="1"/>
    </w:pPr>
    <w:rPr>
      <w:rFonts w:ascii="Arial" w:hAnsi="Arial"/>
      <w:b/>
      <w:kern w:val="28"/>
      <w:sz w:val="32"/>
      <w:szCs w:val="20"/>
    </w:rPr>
  </w:style>
  <w:style w:type="paragraph" w:styleId="54">
    <w:name w:val="List Number 5"/>
    <w:basedOn w:val="1"/>
    <w:qFormat/>
    <w:uiPriority w:val="0"/>
    <w:pPr>
      <w:tabs>
        <w:tab w:val="left" w:pos="1620"/>
        <w:tab w:val="left" w:pos="2040"/>
      </w:tabs>
      <w:ind w:left="1620" w:hanging="360"/>
    </w:pPr>
    <w:rPr>
      <w:szCs w:val="20"/>
    </w:rPr>
  </w:style>
  <w:style w:type="paragraph" w:styleId="55">
    <w:name w:val="List"/>
    <w:basedOn w:val="1"/>
    <w:qFormat/>
    <w:uiPriority w:val="0"/>
    <w:pPr>
      <w:ind w:left="420" w:hanging="420"/>
    </w:pPr>
    <w:rPr>
      <w:szCs w:val="20"/>
    </w:rPr>
  </w:style>
  <w:style w:type="paragraph" w:styleId="56">
    <w:name w:val="toc 6"/>
    <w:basedOn w:val="1"/>
    <w:next w:val="1"/>
    <w:qFormat/>
    <w:uiPriority w:val="0"/>
    <w:pPr>
      <w:wordWrap w:val="0"/>
      <w:overflowPunct w:val="0"/>
      <w:autoSpaceDE w:val="0"/>
      <w:autoSpaceDN w:val="0"/>
      <w:adjustRightInd w:val="0"/>
      <w:spacing w:line="353" w:lineRule="auto"/>
      <w:ind w:left="1200"/>
      <w:jc w:val="left"/>
      <w:textAlignment w:val="baseline"/>
    </w:pPr>
    <w:rPr>
      <w:kern w:val="0"/>
      <w:sz w:val="18"/>
      <w:szCs w:val="20"/>
    </w:rPr>
  </w:style>
  <w:style w:type="paragraph" w:styleId="57">
    <w:name w:val="List 5"/>
    <w:basedOn w:val="1"/>
    <w:qFormat/>
    <w:uiPriority w:val="0"/>
    <w:pPr>
      <w:ind w:left="2100" w:hanging="420"/>
    </w:pPr>
    <w:rPr>
      <w:szCs w:val="20"/>
    </w:rPr>
  </w:style>
  <w:style w:type="paragraph" w:styleId="58">
    <w:name w:val="Body Text Indent 3"/>
    <w:basedOn w:val="1"/>
    <w:link w:val="110"/>
    <w:qFormat/>
    <w:uiPriority w:val="0"/>
    <w:pPr>
      <w:wordWrap w:val="0"/>
      <w:overflowPunct w:val="0"/>
      <w:autoSpaceDE w:val="0"/>
      <w:autoSpaceDN w:val="0"/>
      <w:adjustRightInd w:val="0"/>
      <w:spacing w:line="353" w:lineRule="auto"/>
      <w:ind w:left="600"/>
      <w:jc w:val="left"/>
      <w:textAlignment w:val="baseline"/>
    </w:pPr>
    <w:rPr>
      <w:rFonts w:ascii="Arial" w:hAnsi="Arial"/>
      <w:kern w:val="0"/>
      <w:sz w:val="24"/>
      <w:szCs w:val="20"/>
    </w:rPr>
  </w:style>
  <w:style w:type="paragraph" w:styleId="59">
    <w:name w:val="toc 9"/>
    <w:basedOn w:val="1"/>
    <w:next w:val="1"/>
    <w:qFormat/>
    <w:uiPriority w:val="0"/>
    <w:pPr>
      <w:wordWrap w:val="0"/>
      <w:overflowPunct w:val="0"/>
      <w:autoSpaceDE w:val="0"/>
      <w:autoSpaceDN w:val="0"/>
      <w:adjustRightInd w:val="0"/>
      <w:spacing w:line="353" w:lineRule="auto"/>
      <w:ind w:left="1920"/>
      <w:jc w:val="left"/>
      <w:textAlignment w:val="baseline"/>
    </w:pPr>
    <w:rPr>
      <w:kern w:val="0"/>
      <w:sz w:val="18"/>
      <w:szCs w:val="20"/>
    </w:rPr>
  </w:style>
  <w:style w:type="paragraph" w:styleId="60">
    <w:name w:val="Body Text 2"/>
    <w:basedOn w:val="1"/>
    <w:qFormat/>
    <w:uiPriority w:val="0"/>
    <w:pPr>
      <w:spacing w:after="120" w:line="480" w:lineRule="auto"/>
    </w:pPr>
    <w:rPr>
      <w:szCs w:val="20"/>
    </w:rPr>
  </w:style>
  <w:style w:type="paragraph" w:styleId="61">
    <w:name w:val="List 4"/>
    <w:basedOn w:val="1"/>
    <w:qFormat/>
    <w:uiPriority w:val="0"/>
    <w:pPr>
      <w:ind w:left="1680" w:hanging="420"/>
    </w:pPr>
    <w:rPr>
      <w:szCs w:val="20"/>
    </w:rPr>
  </w:style>
  <w:style w:type="paragraph" w:styleId="62">
    <w:name w:val="List Continue 2"/>
    <w:basedOn w:val="1"/>
    <w:qFormat/>
    <w:uiPriority w:val="0"/>
    <w:pPr>
      <w:spacing w:after="120"/>
      <w:ind w:left="840"/>
    </w:pPr>
    <w:rPr>
      <w:szCs w:val="20"/>
    </w:rPr>
  </w:style>
  <w:style w:type="paragraph" w:styleId="63">
    <w:name w:val="Message Header"/>
    <w:basedOn w:val="1"/>
    <w:qFormat/>
    <w:uiPriority w:val="0"/>
    <w:pPr>
      <w:pBdr>
        <w:top w:val="single" w:color="auto" w:sz="6" w:space="1"/>
        <w:left w:val="single" w:color="auto" w:sz="6" w:space="1"/>
        <w:bottom w:val="single" w:color="auto" w:sz="6" w:space="1"/>
        <w:right w:val="single" w:color="auto" w:sz="6" w:space="1"/>
      </w:pBdr>
      <w:shd w:val="pct20" w:color="auto" w:fill="auto"/>
      <w:ind w:left="1080" w:hanging="1080"/>
    </w:pPr>
    <w:rPr>
      <w:rFonts w:ascii="Arial" w:hAnsi="Arial"/>
      <w:sz w:val="24"/>
      <w:szCs w:val="20"/>
    </w:rPr>
  </w:style>
  <w:style w:type="paragraph" w:styleId="64">
    <w:name w:val="HTML Preformatted"/>
    <w:basedOn w:val="1"/>
    <w:qFormat/>
    <w:uiPriority w:val="0"/>
    <w:rPr>
      <w:rFonts w:ascii="Courier New" w:hAnsi="Courier New"/>
      <w:sz w:val="20"/>
      <w:szCs w:val="20"/>
    </w:rPr>
  </w:style>
  <w:style w:type="paragraph" w:styleId="65">
    <w:name w:val="Normal (Web)"/>
    <w:basedOn w:val="1"/>
    <w:qFormat/>
    <w:uiPriority w:val="0"/>
    <w:rPr>
      <w:sz w:val="24"/>
      <w:szCs w:val="20"/>
    </w:rPr>
  </w:style>
  <w:style w:type="paragraph" w:styleId="66">
    <w:name w:val="List Continue 3"/>
    <w:basedOn w:val="1"/>
    <w:qFormat/>
    <w:uiPriority w:val="0"/>
    <w:pPr>
      <w:spacing w:after="120"/>
      <w:ind w:left="1260"/>
    </w:pPr>
    <w:rPr>
      <w:szCs w:val="20"/>
    </w:rPr>
  </w:style>
  <w:style w:type="paragraph" w:styleId="67">
    <w:name w:val="Title"/>
    <w:basedOn w:val="1"/>
    <w:qFormat/>
    <w:uiPriority w:val="0"/>
    <w:pPr>
      <w:spacing w:before="240" w:after="60"/>
      <w:jc w:val="center"/>
      <w:outlineLvl w:val="0"/>
    </w:pPr>
    <w:rPr>
      <w:rFonts w:ascii="Arial" w:hAnsi="Arial"/>
      <w:b/>
      <w:sz w:val="32"/>
      <w:szCs w:val="20"/>
    </w:rPr>
  </w:style>
  <w:style w:type="paragraph" w:styleId="68">
    <w:name w:val="annotation subject"/>
    <w:basedOn w:val="23"/>
    <w:next w:val="23"/>
    <w:qFormat/>
    <w:uiPriority w:val="0"/>
    <w:rPr>
      <w:b/>
    </w:rPr>
  </w:style>
  <w:style w:type="paragraph" w:styleId="69">
    <w:name w:val="Body Text First Indent"/>
    <w:basedOn w:val="28"/>
    <w:qFormat/>
    <w:uiPriority w:val="0"/>
    <w:pPr>
      <w:spacing w:after="120"/>
      <w:ind w:firstLine="420"/>
    </w:pPr>
    <w:rPr>
      <w:color w:val="auto"/>
    </w:rPr>
  </w:style>
  <w:style w:type="paragraph" w:styleId="70">
    <w:name w:val="Body Text First Indent 2"/>
    <w:basedOn w:val="29"/>
    <w:qFormat/>
    <w:uiPriority w:val="0"/>
    <w:pPr>
      <w:autoSpaceDE/>
      <w:autoSpaceDN/>
      <w:adjustRightInd/>
      <w:spacing w:after="120" w:line="240" w:lineRule="auto"/>
      <w:ind w:left="420" w:firstLine="420"/>
      <w:jc w:val="both"/>
      <w:textAlignment w:val="auto"/>
    </w:pPr>
    <w:rPr>
      <w:kern w:val="2"/>
      <w:sz w:val="21"/>
    </w:rPr>
  </w:style>
  <w:style w:type="table" w:styleId="72">
    <w:name w:val="Table Grid"/>
    <w:basedOn w:val="71"/>
    <w:uiPriority w:val="59"/>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style>
  <w:style w:type="character" w:styleId="74">
    <w:name w:val="Strong"/>
    <w:qFormat/>
    <w:uiPriority w:val="0"/>
    <w:rPr>
      <w:b/>
    </w:rPr>
  </w:style>
  <w:style w:type="character" w:styleId="75">
    <w:name w:val="page number"/>
    <w:qFormat/>
    <w:uiPriority w:val="0"/>
    <w:rPr>
      <w:sz w:val="20"/>
    </w:rPr>
  </w:style>
  <w:style w:type="character" w:styleId="76">
    <w:name w:val="FollowedHyperlink"/>
    <w:qFormat/>
    <w:uiPriority w:val="0"/>
    <w:rPr>
      <w:color w:val="800080"/>
      <w:u w:val="single"/>
    </w:rPr>
  </w:style>
  <w:style w:type="character" w:styleId="77">
    <w:name w:val="Emphasis"/>
    <w:qFormat/>
    <w:uiPriority w:val="0"/>
    <w:rPr>
      <w:i/>
    </w:rPr>
  </w:style>
  <w:style w:type="character" w:styleId="78">
    <w:name w:val="line number"/>
    <w:basedOn w:val="73"/>
    <w:qFormat/>
    <w:uiPriority w:val="0"/>
  </w:style>
  <w:style w:type="character" w:styleId="79">
    <w:name w:val="HTML Definition"/>
    <w:qFormat/>
    <w:uiPriority w:val="0"/>
    <w:rPr>
      <w:i/>
    </w:rPr>
  </w:style>
  <w:style w:type="character" w:styleId="80">
    <w:name w:val="HTML Typewriter"/>
    <w:qFormat/>
    <w:uiPriority w:val="0"/>
    <w:rPr>
      <w:rFonts w:ascii="Courier New" w:hAnsi="Courier New"/>
      <w:sz w:val="20"/>
    </w:rPr>
  </w:style>
  <w:style w:type="character" w:styleId="81">
    <w:name w:val="HTML Acronym"/>
    <w:basedOn w:val="73"/>
    <w:qFormat/>
    <w:uiPriority w:val="0"/>
  </w:style>
  <w:style w:type="character" w:styleId="82">
    <w:name w:val="HTML Variable"/>
    <w:uiPriority w:val="0"/>
    <w:rPr>
      <w:i/>
    </w:rPr>
  </w:style>
  <w:style w:type="character" w:styleId="83">
    <w:name w:val="Hyperlink"/>
    <w:qFormat/>
    <w:uiPriority w:val="0"/>
    <w:rPr>
      <w:color w:val="0000FF"/>
      <w:u w:val="single"/>
    </w:rPr>
  </w:style>
  <w:style w:type="character" w:styleId="84">
    <w:name w:val="HTML Code"/>
    <w:qFormat/>
    <w:uiPriority w:val="0"/>
    <w:rPr>
      <w:rFonts w:ascii="Courier New" w:hAnsi="Courier New"/>
      <w:sz w:val="20"/>
    </w:rPr>
  </w:style>
  <w:style w:type="character" w:styleId="85">
    <w:name w:val="annotation reference"/>
    <w:qFormat/>
    <w:uiPriority w:val="0"/>
    <w:rPr>
      <w:sz w:val="21"/>
    </w:rPr>
  </w:style>
  <w:style w:type="character" w:styleId="86">
    <w:name w:val="HTML Cite"/>
    <w:qFormat/>
    <w:uiPriority w:val="0"/>
    <w:rPr>
      <w:i/>
    </w:rPr>
  </w:style>
  <w:style w:type="character" w:styleId="87">
    <w:name w:val="HTML Keyboard"/>
    <w:qFormat/>
    <w:uiPriority w:val="0"/>
    <w:rPr>
      <w:rFonts w:ascii="Courier New" w:hAnsi="Courier New"/>
      <w:sz w:val="20"/>
    </w:rPr>
  </w:style>
  <w:style w:type="character" w:styleId="88">
    <w:name w:val="HTML Sample"/>
    <w:qFormat/>
    <w:uiPriority w:val="0"/>
    <w:rPr>
      <w:rFonts w:ascii="Courier New" w:hAnsi="Courier New"/>
    </w:rPr>
  </w:style>
  <w:style w:type="character" w:customStyle="1" w:styleId="89">
    <w:name w:val="标题 2 Char"/>
    <w:link w:val="3"/>
    <w:qFormat/>
    <w:uiPriority w:val="0"/>
    <w:rPr>
      <w:rFonts w:ascii="Arial" w:hAnsi="Arial" w:eastAsia="黑体"/>
      <w:sz w:val="32"/>
      <w:lang w:val="en-US" w:eastAsia="zh-CN" w:bidi="ar-SA"/>
    </w:rPr>
  </w:style>
  <w:style w:type="character" w:customStyle="1" w:styleId="90">
    <w:name w:val="正文文本缩进 Char"/>
    <w:link w:val="29"/>
    <w:qFormat/>
    <w:uiPriority w:val="0"/>
    <w:rPr>
      <w:rFonts w:eastAsia="宋体"/>
      <w:sz w:val="24"/>
      <w:lang w:val="en-US" w:eastAsia="zh-CN" w:bidi="ar-SA"/>
    </w:rPr>
  </w:style>
  <w:style w:type="character" w:customStyle="1" w:styleId="91">
    <w:name w:val="批注文字 Char"/>
    <w:link w:val="23"/>
    <w:qFormat/>
    <w:uiPriority w:val="0"/>
    <w:rPr>
      <w:rFonts w:eastAsia="宋体"/>
      <w:kern w:val="2"/>
      <w:sz w:val="21"/>
      <w:lang w:val="en-US" w:eastAsia="zh-CN" w:bidi="ar-SA"/>
    </w:rPr>
  </w:style>
  <w:style w:type="character" w:customStyle="1" w:styleId="92">
    <w:name w:val="Char Char2"/>
    <w:qFormat/>
    <w:uiPriority w:val="0"/>
    <w:rPr>
      <w:rFonts w:eastAsia="宋体"/>
      <w:b/>
      <w:kern w:val="44"/>
      <w:sz w:val="44"/>
      <w:lang w:val="en-US" w:eastAsia="zh-CN" w:bidi="ar-SA"/>
    </w:rPr>
  </w:style>
  <w:style w:type="character" w:customStyle="1" w:styleId="93">
    <w:name w:val="标题 3 Char"/>
    <w:link w:val="4"/>
    <w:qFormat/>
    <w:uiPriority w:val="0"/>
    <w:rPr>
      <w:rFonts w:ascii="Arial" w:hAnsi="Arial" w:eastAsia="黑体"/>
      <w:sz w:val="28"/>
      <w:lang w:val="en-US" w:eastAsia="zh-CN" w:bidi="ar-SA"/>
    </w:rPr>
  </w:style>
  <w:style w:type="character" w:customStyle="1" w:styleId="94">
    <w:name w:val="页眉 Char"/>
    <w:link w:val="47"/>
    <w:qFormat/>
    <w:uiPriority w:val="0"/>
    <w:rPr>
      <w:rFonts w:eastAsia="宋体"/>
      <w:kern w:val="2"/>
      <w:sz w:val="18"/>
      <w:lang w:val="en-US" w:eastAsia="zh-CN" w:bidi="ar-SA"/>
    </w:rPr>
  </w:style>
  <w:style w:type="character" w:customStyle="1" w:styleId="95">
    <w:name w:val="标题 1 Char"/>
    <w:qFormat/>
    <w:uiPriority w:val="0"/>
    <w:rPr>
      <w:rFonts w:eastAsia="黑体"/>
      <w:kern w:val="44"/>
      <w:sz w:val="28"/>
      <w:szCs w:val="28"/>
      <w:lang w:val="en-US" w:eastAsia="zh-CN" w:bidi="ar-SA"/>
    </w:rPr>
  </w:style>
  <w:style w:type="character" w:customStyle="1" w:styleId="96">
    <w:name w:val="批注框文本 Char"/>
    <w:link w:val="44"/>
    <w:qFormat/>
    <w:uiPriority w:val="0"/>
    <w:rPr>
      <w:rFonts w:eastAsia="宋体"/>
      <w:kern w:val="2"/>
      <w:sz w:val="18"/>
      <w:szCs w:val="18"/>
      <w:lang w:val="en-US" w:eastAsia="zh-CN" w:bidi="ar-SA"/>
    </w:rPr>
  </w:style>
  <w:style w:type="character" w:customStyle="1" w:styleId="97">
    <w:name w:val="样式6 Char"/>
    <w:link w:val="98"/>
    <w:qFormat/>
    <w:uiPriority w:val="0"/>
    <w:rPr>
      <w:rFonts w:eastAsia="黑体"/>
      <w:kern w:val="2"/>
      <w:sz w:val="21"/>
      <w:lang w:val="en-US" w:eastAsia="zh-CN" w:bidi="ar-SA"/>
    </w:rPr>
  </w:style>
  <w:style w:type="paragraph" w:customStyle="1" w:styleId="98">
    <w:name w:val="样式6"/>
    <w:basedOn w:val="1"/>
    <w:link w:val="97"/>
    <w:qFormat/>
    <w:uiPriority w:val="0"/>
    <w:pPr>
      <w:topLinePunct/>
      <w:spacing w:before="160" w:after="60"/>
      <w:jc w:val="center"/>
    </w:pPr>
    <w:rPr>
      <w:rFonts w:eastAsia="黑体"/>
      <w:szCs w:val="20"/>
    </w:rPr>
  </w:style>
  <w:style w:type="character" w:customStyle="1" w:styleId="99">
    <w:name w:val="日期 Char"/>
    <w:link w:val="41"/>
    <w:qFormat/>
    <w:uiPriority w:val="0"/>
    <w:rPr>
      <w:rFonts w:eastAsia="宋体"/>
      <w:b/>
      <w:kern w:val="2"/>
      <w:sz w:val="24"/>
      <w:lang w:val="en-US" w:eastAsia="zh-CN" w:bidi="ar-SA"/>
    </w:rPr>
  </w:style>
  <w:style w:type="character" w:customStyle="1" w:styleId="100">
    <w:name w:val="正文文本缩进 2 Char"/>
    <w:link w:val="42"/>
    <w:qFormat/>
    <w:uiPriority w:val="0"/>
    <w:rPr>
      <w:rFonts w:ascii="宋体" w:eastAsia="宋体"/>
      <w:color w:val="000000"/>
      <w:kern w:val="2"/>
      <w:sz w:val="24"/>
      <w:lang w:val="en-US" w:eastAsia="zh-CN" w:bidi="ar-SA"/>
    </w:rPr>
  </w:style>
  <w:style w:type="character" w:customStyle="1" w:styleId="101">
    <w:name w:val="Char Char1"/>
    <w:qFormat/>
    <w:uiPriority w:val="0"/>
    <w:rPr>
      <w:rFonts w:ascii="Arial" w:hAnsi="Arial" w:eastAsia="黑体"/>
      <w:sz w:val="32"/>
      <w:lang w:val="en-US" w:eastAsia="zh-CN" w:bidi="ar-SA"/>
    </w:rPr>
  </w:style>
  <w:style w:type="character" w:customStyle="1" w:styleId="102">
    <w:name w:val="标题 1 Char1"/>
    <w:link w:val="2"/>
    <w:qFormat/>
    <w:uiPriority w:val="0"/>
    <w:rPr>
      <w:rFonts w:eastAsia="宋体"/>
      <w:b/>
      <w:kern w:val="44"/>
      <w:sz w:val="44"/>
      <w:lang w:val="en-US" w:eastAsia="zh-CN" w:bidi="ar-SA"/>
    </w:rPr>
  </w:style>
  <w:style w:type="character" w:customStyle="1" w:styleId="103">
    <w:name w:val="标题 4 Char"/>
    <w:link w:val="5"/>
    <w:qFormat/>
    <w:uiPriority w:val="0"/>
    <w:rPr>
      <w:rFonts w:eastAsia="宋体"/>
      <w:kern w:val="2"/>
      <w:sz w:val="18"/>
      <w:szCs w:val="18"/>
      <w:lang w:val="en-US" w:eastAsia="zh-CN" w:bidi="ar-SA"/>
    </w:rPr>
  </w:style>
  <w:style w:type="character" w:customStyle="1" w:styleId="104">
    <w:name w:val="jl 正文 Char Char Char"/>
    <w:qFormat/>
    <w:uiPriority w:val="0"/>
    <w:rPr>
      <w:rFonts w:ascii="宋体" w:eastAsia="宋体"/>
      <w:kern w:val="2"/>
      <w:sz w:val="24"/>
      <w:szCs w:val="24"/>
      <w:lang w:val="en-US" w:eastAsia="zh-CN" w:bidi="ar-SA"/>
    </w:rPr>
  </w:style>
  <w:style w:type="character" w:customStyle="1" w:styleId="105">
    <w:name w:val="jl 三级 Char Char"/>
    <w:link w:val="106"/>
    <w:qFormat/>
    <w:uiPriority w:val="0"/>
    <w:rPr>
      <w:rFonts w:ascii="宋体" w:hAnsi="宋体" w:eastAsia="宋体"/>
      <w:b/>
      <w:color w:val="000000"/>
      <w:kern w:val="2"/>
      <w:sz w:val="24"/>
      <w:lang w:val="en-US" w:eastAsia="zh-CN" w:bidi="ar-SA"/>
    </w:rPr>
  </w:style>
  <w:style w:type="paragraph" w:customStyle="1" w:styleId="106">
    <w:name w:val="jl 三级 Char"/>
    <w:basedOn w:val="1"/>
    <w:link w:val="105"/>
    <w:qFormat/>
    <w:uiPriority w:val="0"/>
    <w:pPr>
      <w:autoSpaceDE w:val="0"/>
      <w:autoSpaceDN w:val="0"/>
      <w:adjustRightInd w:val="0"/>
      <w:spacing w:beforeLines="50" w:afterLines="50"/>
      <w:ind w:firstLine="480" w:firstLineChars="200"/>
      <w:jc w:val="left"/>
      <w:textAlignment w:val="baseline"/>
      <w:outlineLvl w:val="2"/>
    </w:pPr>
    <w:rPr>
      <w:rFonts w:ascii="宋体" w:hAnsi="宋体"/>
      <w:b/>
      <w:color w:val="000000"/>
      <w:sz w:val="24"/>
      <w:szCs w:val="20"/>
    </w:rPr>
  </w:style>
  <w:style w:type="character" w:customStyle="1" w:styleId="107">
    <w:name w:val="页脚 Char"/>
    <w:link w:val="45"/>
    <w:qFormat/>
    <w:uiPriority w:val="0"/>
    <w:rPr>
      <w:rFonts w:eastAsia="宋体"/>
      <w:kern w:val="2"/>
      <w:sz w:val="18"/>
      <w:lang w:val="en-US" w:eastAsia="zh-CN" w:bidi="ar-SA"/>
    </w:rPr>
  </w:style>
  <w:style w:type="character" w:customStyle="1" w:styleId="108">
    <w:name w:val="正文文本 Char"/>
    <w:link w:val="28"/>
    <w:uiPriority w:val="0"/>
    <w:rPr>
      <w:rFonts w:eastAsia="宋体"/>
      <w:color w:val="000000"/>
      <w:kern w:val="2"/>
      <w:sz w:val="21"/>
      <w:lang w:val="en-US" w:eastAsia="zh-CN" w:bidi="ar-SA"/>
    </w:rPr>
  </w:style>
  <w:style w:type="character" w:customStyle="1" w:styleId="109">
    <w:name w:val="样式 标题 1 + 加粗 Char"/>
    <w:uiPriority w:val="0"/>
    <w:rPr>
      <w:rFonts w:eastAsia="黑体"/>
      <w:b/>
      <w:bCs/>
      <w:kern w:val="44"/>
      <w:sz w:val="28"/>
      <w:szCs w:val="28"/>
      <w:lang w:val="en-US" w:eastAsia="zh-CN" w:bidi="ar-SA"/>
    </w:rPr>
  </w:style>
  <w:style w:type="character" w:customStyle="1" w:styleId="110">
    <w:name w:val="正文文本缩进 3 Char"/>
    <w:link w:val="58"/>
    <w:qFormat/>
    <w:uiPriority w:val="0"/>
    <w:rPr>
      <w:rFonts w:ascii="Arial" w:hAnsi="Arial" w:eastAsia="宋体"/>
      <w:sz w:val="24"/>
      <w:lang w:val="en-US" w:eastAsia="zh-CN" w:bidi="ar-SA"/>
    </w:rPr>
  </w:style>
  <w:style w:type="paragraph" w:customStyle="1" w:styleId="111">
    <w:name w:val="Char"/>
    <w:basedOn w:val="1"/>
    <w:qFormat/>
    <w:uiPriority w:val="0"/>
  </w:style>
  <w:style w:type="paragraph" w:customStyle="1" w:styleId="112">
    <w:name w:val="样式 样式 样式 标题 1 + 首行缩进:  2 字符 段前: 1 行 段后: 1 行 + 三号 黑色 段前: 1 行 段后: ..."/>
    <w:basedOn w:val="113"/>
    <w:qFormat/>
    <w:uiPriority w:val="0"/>
    <w:pPr>
      <w:spacing w:beforeLines="0" w:afterLines="0"/>
    </w:pPr>
    <w:rPr>
      <w:b/>
    </w:rPr>
  </w:style>
  <w:style w:type="paragraph" w:customStyle="1" w:styleId="113">
    <w:name w:val="样式 样式 标题 1 + 首行缩进:  2 字符 段前: 1 行 段后: 1 行 + 三号 黑色 段前: 1 行 段后: ..."/>
    <w:basedOn w:val="114"/>
    <w:qFormat/>
    <w:uiPriority w:val="0"/>
    <w:pPr>
      <w:spacing w:beforeLines="50" w:afterLines="50" w:line="500" w:lineRule="exact"/>
    </w:pPr>
    <w:rPr>
      <w:rFonts w:eastAsia="宋体" w:cs="宋体"/>
      <w:color w:val="000000"/>
      <w:sz w:val="32"/>
    </w:rPr>
  </w:style>
  <w:style w:type="paragraph" w:customStyle="1" w:styleId="114">
    <w:name w:val="样式 标题 1 + 首行缩进:  2 字符 段前: 1 行 段后: 1 行"/>
    <w:basedOn w:val="2"/>
    <w:uiPriority w:val="0"/>
    <w:pPr>
      <w:adjustRightInd/>
      <w:spacing w:beforeLines="100" w:afterLines="100" w:line="240" w:lineRule="auto"/>
    </w:pPr>
    <w:rPr>
      <w:rFonts w:eastAsia="黑体"/>
      <w:b w:val="0"/>
      <w:sz w:val="28"/>
    </w:rPr>
  </w:style>
  <w:style w:type="paragraph" w:customStyle="1" w:styleId="115">
    <w:name w:val="样式 样式 标题 2 + 段前: 0.5 行 段后: 0.5 行 + 首行缩进:  2 字符 段前: 0.5 行 段后: 0..."/>
    <w:basedOn w:val="116"/>
    <w:qFormat/>
    <w:uiPriority w:val="0"/>
    <w:pPr>
      <w:spacing w:beforeLines="0" w:afterLines="0"/>
      <w:ind w:firstLine="0" w:firstLineChars="0"/>
    </w:pPr>
    <w:rPr>
      <w:bCs w:val="0"/>
      <w:szCs w:val="20"/>
    </w:rPr>
  </w:style>
  <w:style w:type="paragraph" w:customStyle="1" w:styleId="116">
    <w:name w:val="样式 标题 2 + 段前: 0.5 行 段后: 0.5 行"/>
    <w:basedOn w:val="3"/>
    <w:qFormat/>
    <w:uiPriority w:val="0"/>
    <w:pPr>
      <w:autoSpaceDE/>
      <w:autoSpaceDN/>
      <w:spacing w:beforeLines="50" w:afterLines="50" w:line="240" w:lineRule="auto"/>
      <w:ind w:firstLine="200" w:firstLineChars="200"/>
    </w:pPr>
    <w:rPr>
      <w:rFonts w:ascii="Times New Roman" w:hAnsi="Times New Roman"/>
      <w:bCs/>
      <w:sz w:val="21"/>
      <w:szCs w:val="21"/>
    </w:rPr>
  </w:style>
  <w:style w:type="paragraph" w:customStyle="1" w:styleId="117">
    <w:name w:val="Char Char Char Char"/>
    <w:basedOn w:val="1"/>
    <w:qFormat/>
    <w:uiPriority w:val="0"/>
  </w:style>
  <w:style w:type="paragraph" w:customStyle="1" w:styleId="118">
    <w:name w:val="默认段落字体 Para Char Char Char Char Char"/>
    <w:basedOn w:val="1"/>
    <w:qFormat/>
    <w:uiPriority w:val="0"/>
    <w:rPr>
      <w:szCs w:val="21"/>
    </w:rPr>
  </w:style>
  <w:style w:type="paragraph" w:customStyle="1" w:styleId="119">
    <w:name w:val="样式7"/>
    <w:basedOn w:val="1"/>
    <w:qFormat/>
    <w:uiPriority w:val="0"/>
    <w:pPr>
      <w:snapToGrid w:val="0"/>
    </w:pPr>
    <w:rPr>
      <w:szCs w:val="20"/>
    </w:rPr>
  </w:style>
  <w:style w:type="paragraph" w:customStyle="1" w:styleId="120">
    <w:name w:val="样式3"/>
    <w:basedOn w:val="121"/>
    <w:qFormat/>
    <w:uiPriority w:val="0"/>
    <w:pPr>
      <w:tabs>
        <w:tab w:val="left" w:pos="2160"/>
      </w:tabs>
      <w:adjustRightInd w:val="0"/>
      <w:spacing w:before="620" w:after="360" w:line="490" w:lineRule="exact"/>
      <w:jc w:val="center"/>
      <w:textAlignment w:val="baseline"/>
    </w:pPr>
    <w:rPr>
      <w:rFonts w:ascii="宋体"/>
      <w:kern w:val="0"/>
      <w:sz w:val="34"/>
    </w:rPr>
  </w:style>
  <w:style w:type="paragraph" w:customStyle="1" w:styleId="121">
    <w:name w:val="样式1"/>
    <w:basedOn w:val="1"/>
    <w:qFormat/>
    <w:uiPriority w:val="0"/>
    <w:rPr>
      <w:sz w:val="28"/>
      <w:szCs w:val="20"/>
    </w:rPr>
  </w:style>
  <w:style w:type="paragraph" w:customStyle="1" w:styleId="122">
    <w:name w:val="xl26"/>
    <w:basedOn w:val="1"/>
    <w:qFormat/>
    <w:uiPriority w:val="0"/>
    <w:pPr>
      <w:widowControl/>
      <w:pBdr>
        <w:top w:val="single" w:color="auto" w:sz="4" w:space="0"/>
        <w:left w:val="single" w:color="auto" w:sz="4" w:space="0"/>
        <w:bottom w:val="single" w:color="auto" w:sz="4" w:space="0"/>
        <w:right w:val="single" w:color="auto" w:sz="4" w:space="0"/>
      </w:pBdr>
      <w:shd w:val="clear" w:color="auto" w:fill="C0C0C0"/>
      <w:spacing w:before="100" w:beforeAutospacing="1" w:after="100" w:afterAutospacing="1"/>
      <w:jc w:val="center"/>
      <w:textAlignment w:val="center"/>
    </w:pPr>
    <w:rPr>
      <w:kern w:val="0"/>
      <w:sz w:val="16"/>
      <w:szCs w:val="20"/>
    </w:rPr>
  </w:style>
  <w:style w:type="paragraph" w:customStyle="1" w:styleId="123">
    <w:name w:val="叙述"/>
    <w:basedOn w:val="1"/>
    <w:qFormat/>
    <w:uiPriority w:val="0"/>
    <w:pPr>
      <w:tabs>
        <w:tab w:val="left" w:pos="720"/>
        <w:tab w:val="left" w:pos="4800"/>
        <w:tab w:val="left" w:pos="6240"/>
      </w:tabs>
      <w:adjustRightInd w:val="0"/>
      <w:spacing w:line="360" w:lineRule="auto"/>
      <w:ind w:left="737" w:hanging="737"/>
      <w:textAlignment w:val="baseline"/>
    </w:pPr>
    <w:rPr>
      <w:rFonts w:ascii="Arial" w:hAnsi="Arial"/>
      <w:kern w:val="0"/>
      <w:sz w:val="24"/>
      <w:szCs w:val="20"/>
    </w:rPr>
  </w:style>
  <w:style w:type="paragraph" w:customStyle="1" w:styleId="124">
    <w:name w:val="xl30"/>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kern w:val="0"/>
      <w:sz w:val="16"/>
      <w:szCs w:val="20"/>
    </w:rPr>
  </w:style>
  <w:style w:type="paragraph" w:customStyle="1" w:styleId="125">
    <w:name w:val="font6"/>
    <w:basedOn w:val="1"/>
    <w:qFormat/>
    <w:uiPriority w:val="0"/>
    <w:pPr>
      <w:widowControl/>
      <w:spacing w:before="100" w:beforeAutospacing="1" w:after="100" w:afterAutospacing="1"/>
      <w:jc w:val="left"/>
    </w:pPr>
    <w:rPr>
      <w:rFonts w:hint="eastAsia" w:ascii="宋体" w:hAnsi="宋体"/>
      <w:color w:val="000000"/>
      <w:kern w:val="0"/>
      <w:sz w:val="20"/>
      <w:szCs w:val="20"/>
    </w:rPr>
  </w:style>
  <w:style w:type="paragraph" w:customStyle="1" w:styleId="126">
    <w:name w:val="Char Char Char Char Char Char Char Char Char Char"/>
    <w:basedOn w:val="1"/>
    <w:qFormat/>
    <w:uiPriority w:val="0"/>
    <w:rPr>
      <w:szCs w:val="20"/>
    </w:rPr>
  </w:style>
  <w:style w:type="paragraph" w:customStyle="1" w:styleId="127">
    <w:name w:val="xl40"/>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kern w:val="0"/>
      <w:sz w:val="16"/>
      <w:szCs w:val="20"/>
    </w:rPr>
  </w:style>
  <w:style w:type="paragraph" w:customStyle="1" w:styleId="128">
    <w:name w:val="font5"/>
    <w:basedOn w:val="1"/>
    <w:qFormat/>
    <w:uiPriority w:val="0"/>
    <w:pPr>
      <w:widowControl/>
      <w:spacing w:before="100" w:beforeAutospacing="1" w:after="100" w:afterAutospacing="1"/>
      <w:jc w:val="left"/>
    </w:pPr>
    <w:rPr>
      <w:rFonts w:hint="eastAsia" w:ascii="宋体" w:hAnsi="宋体"/>
      <w:kern w:val="0"/>
      <w:sz w:val="18"/>
      <w:szCs w:val="20"/>
    </w:rPr>
  </w:style>
  <w:style w:type="paragraph" w:customStyle="1" w:styleId="129">
    <w:name w:val="xl27"/>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kern w:val="0"/>
      <w:sz w:val="16"/>
      <w:szCs w:val="20"/>
    </w:rPr>
  </w:style>
  <w:style w:type="paragraph" w:customStyle="1" w:styleId="130">
    <w:name w:val="xl47"/>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kern w:val="0"/>
      <w:sz w:val="20"/>
      <w:szCs w:val="20"/>
    </w:rPr>
  </w:style>
  <w:style w:type="paragraph" w:customStyle="1" w:styleId="131">
    <w:name w:val="xl50"/>
    <w:basedOn w:val="1"/>
    <w:qFormat/>
    <w:uiPriority w:val="0"/>
    <w:pPr>
      <w:widowControl/>
      <w:spacing w:before="100" w:beforeAutospacing="1" w:after="100" w:afterAutospacing="1"/>
      <w:jc w:val="center"/>
    </w:pPr>
    <w:rPr>
      <w:rFonts w:ascii="宋体" w:hAnsi="宋体"/>
      <w:kern w:val="0"/>
      <w:sz w:val="24"/>
      <w:szCs w:val="20"/>
    </w:rPr>
  </w:style>
  <w:style w:type="paragraph" w:customStyle="1" w:styleId="132">
    <w:name w:val="xl28"/>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color w:val="000000"/>
      <w:kern w:val="0"/>
      <w:sz w:val="16"/>
      <w:szCs w:val="20"/>
    </w:rPr>
  </w:style>
  <w:style w:type="paragraph" w:customStyle="1" w:styleId="133">
    <w:name w:val="xl38"/>
    <w:basedOn w:val="1"/>
    <w:qFormat/>
    <w:uiPriority w:val="0"/>
    <w:pPr>
      <w:widowControl/>
      <w:pBdr>
        <w:top w:val="single" w:color="auto" w:sz="4" w:space="0"/>
        <w:left w:val="single" w:color="auto" w:sz="4" w:space="0"/>
        <w:bottom w:val="single" w:color="auto" w:sz="4" w:space="0"/>
        <w:right w:val="single" w:color="auto" w:sz="4" w:space="0"/>
      </w:pBdr>
      <w:shd w:val="clear" w:color="auto" w:fill="FFFFFF"/>
      <w:spacing w:before="100" w:beforeAutospacing="1" w:after="100" w:afterAutospacing="1"/>
      <w:jc w:val="center"/>
    </w:pPr>
    <w:rPr>
      <w:kern w:val="0"/>
      <w:sz w:val="16"/>
      <w:szCs w:val="20"/>
    </w:rPr>
  </w:style>
  <w:style w:type="paragraph" w:customStyle="1" w:styleId="134">
    <w:name w:val="xl51"/>
    <w:basedOn w:val="1"/>
    <w:qFormat/>
    <w:uiPriority w:val="0"/>
    <w:pPr>
      <w:widowControl/>
      <w:pBdr>
        <w:top w:val="single" w:color="auto" w:sz="4" w:space="0"/>
        <w:left w:val="single" w:color="auto" w:sz="4" w:space="0"/>
        <w:right w:val="single" w:color="auto" w:sz="4" w:space="0"/>
      </w:pBdr>
      <w:shd w:val="clear" w:color="auto" w:fill="C0C0C0"/>
      <w:spacing w:before="100" w:beforeAutospacing="1" w:after="100" w:afterAutospacing="1"/>
      <w:jc w:val="center"/>
      <w:textAlignment w:val="center"/>
    </w:pPr>
    <w:rPr>
      <w:kern w:val="0"/>
      <w:sz w:val="16"/>
      <w:szCs w:val="20"/>
    </w:rPr>
  </w:style>
  <w:style w:type="paragraph" w:customStyle="1" w:styleId="135">
    <w:name w:val="xl46"/>
    <w:basedOn w:val="1"/>
    <w:qFormat/>
    <w:uiPriority w:val="0"/>
    <w:pPr>
      <w:widowControl/>
      <w:pBdr>
        <w:left w:val="single" w:color="auto" w:sz="4" w:space="0"/>
        <w:bottom w:val="single" w:color="auto" w:sz="4" w:space="0"/>
        <w:right w:val="single" w:color="auto" w:sz="4" w:space="0"/>
      </w:pBdr>
      <w:shd w:val="clear" w:color="auto" w:fill="C0C0C0"/>
      <w:spacing w:before="100" w:beforeAutospacing="1" w:after="100" w:afterAutospacing="1"/>
      <w:jc w:val="center"/>
      <w:textAlignment w:val="center"/>
    </w:pPr>
    <w:rPr>
      <w:color w:val="000000"/>
      <w:kern w:val="0"/>
      <w:sz w:val="16"/>
      <w:szCs w:val="20"/>
    </w:rPr>
  </w:style>
  <w:style w:type="paragraph" w:customStyle="1" w:styleId="136">
    <w:name w:val="文3"/>
    <w:basedOn w:val="1"/>
    <w:qFormat/>
    <w:uiPriority w:val="0"/>
    <w:pPr>
      <w:tabs>
        <w:tab w:val="left" w:pos="1260"/>
        <w:tab w:val="left" w:pos="1654"/>
      </w:tabs>
      <w:adjustRightInd w:val="0"/>
      <w:spacing w:line="500" w:lineRule="atLeast"/>
      <w:ind w:left="1260" w:hanging="420"/>
      <w:textAlignment w:val="baseline"/>
    </w:pPr>
    <w:rPr>
      <w:kern w:val="0"/>
      <w:sz w:val="28"/>
      <w:szCs w:val="20"/>
    </w:rPr>
  </w:style>
  <w:style w:type="paragraph" w:customStyle="1" w:styleId="137">
    <w:name w:val="Char1"/>
    <w:basedOn w:val="1"/>
    <w:qFormat/>
    <w:uiPriority w:val="0"/>
  </w:style>
  <w:style w:type="paragraph" w:customStyle="1" w:styleId="138">
    <w:name w:val="段"/>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customStyle="1" w:styleId="139">
    <w:name w:val="xl49"/>
    <w:basedOn w:val="1"/>
    <w:qFormat/>
    <w:uiPriority w:val="0"/>
    <w:pPr>
      <w:widowControl/>
      <w:pBdr>
        <w:left w:val="single" w:color="auto" w:sz="4" w:space="0"/>
        <w:right w:val="single" w:color="auto" w:sz="4" w:space="0"/>
      </w:pBdr>
      <w:spacing w:before="100" w:beforeAutospacing="1" w:after="100" w:afterAutospacing="1"/>
      <w:jc w:val="center"/>
      <w:textAlignment w:val="center"/>
    </w:pPr>
    <w:rPr>
      <w:kern w:val="0"/>
      <w:sz w:val="16"/>
      <w:szCs w:val="20"/>
    </w:rPr>
  </w:style>
  <w:style w:type="paragraph" w:customStyle="1" w:styleId="140">
    <w:name w:val="Char2"/>
    <w:basedOn w:val="1"/>
    <w:qFormat/>
    <w:uiPriority w:val="0"/>
    <w:rPr>
      <w:szCs w:val="20"/>
    </w:rPr>
  </w:style>
  <w:style w:type="paragraph" w:customStyle="1" w:styleId="141">
    <w:name w:val="xl43"/>
    <w:basedOn w:val="1"/>
    <w:qFormat/>
    <w:uiPriority w:val="0"/>
    <w:pPr>
      <w:widowControl/>
      <w:pBdr>
        <w:left w:val="single" w:color="auto" w:sz="4" w:space="0"/>
        <w:bottom w:val="single" w:color="auto" w:sz="4" w:space="0"/>
        <w:right w:val="single" w:color="auto" w:sz="4" w:space="0"/>
      </w:pBdr>
      <w:spacing w:before="100" w:beforeAutospacing="1" w:after="100" w:afterAutospacing="1"/>
      <w:jc w:val="center"/>
      <w:textAlignment w:val="center"/>
    </w:pPr>
    <w:rPr>
      <w:color w:val="000000"/>
      <w:kern w:val="0"/>
      <w:sz w:val="16"/>
      <w:szCs w:val="20"/>
    </w:rPr>
  </w:style>
  <w:style w:type="paragraph" w:customStyle="1" w:styleId="142">
    <w:name w:val="xl41"/>
    <w:basedOn w:val="1"/>
    <w:qFormat/>
    <w:uiPriority w:val="0"/>
    <w:pPr>
      <w:widowControl/>
      <w:pBdr>
        <w:top w:val="single" w:color="auto" w:sz="4" w:space="0"/>
        <w:left w:val="single" w:color="auto" w:sz="4" w:space="0"/>
        <w:right w:val="single" w:color="auto" w:sz="4" w:space="0"/>
      </w:pBdr>
      <w:spacing w:before="100" w:beforeAutospacing="1" w:after="100" w:afterAutospacing="1"/>
      <w:jc w:val="center"/>
      <w:textAlignment w:val="center"/>
    </w:pPr>
    <w:rPr>
      <w:color w:val="000000"/>
      <w:kern w:val="0"/>
      <w:sz w:val="16"/>
      <w:szCs w:val="20"/>
    </w:rPr>
  </w:style>
  <w:style w:type="paragraph" w:customStyle="1" w:styleId="143">
    <w:name w:val="xl32"/>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kern w:val="0"/>
      <w:sz w:val="16"/>
      <w:szCs w:val="20"/>
    </w:rPr>
  </w:style>
  <w:style w:type="paragraph" w:customStyle="1" w:styleId="144">
    <w:name w:val="样式 样式 样式 标题 2 + 段前: 0.5 行 段后: 0.5 行 + 首行缩进:  2 字符 段前: 0.5 行 段后: ..."/>
    <w:basedOn w:val="115"/>
    <w:qFormat/>
    <w:uiPriority w:val="0"/>
    <w:pPr>
      <w:spacing w:line="500" w:lineRule="exact"/>
    </w:pPr>
    <w:rPr>
      <w:rFonts w:eastAsia="宋体" w:cs="宋体"/>
      <w:b/>
      <w:color w:val="000000"/>
      <w:sz w:val="30"/>
    </w:rPr>
  </w:style>
  <w:style w:type="paragraph" w:customStyle="1" w:styleId="145">
    <w:name w:val="xl42"/>
    <w:basedOn w:val="1"/>
    <w:qFormat/>
    <w:uiPriority w:val="0"/>
    <w:pPr>
      <w:widowControl/>
      <w:pBdr>
        <w:left w:val="single" w:color="auto" w:sz="4" w:space="0"/>
        <w:right w:val="single" w:color="auto" w:sz="4" w:space="0"/>
      </w:pBdr>
      <w:spacing w:before="100" w:beforeAutospacing="1" w:after="100" w:afterAutospacing="1"/>
      <w:jc w:val="center"/>
      <w:textAlignment w:val="center"/>
    </w:pPr>
    <w:rPr>
      <w:color w:val="000000"/>
      <w:kern w:val="0"/>
      <w:sz w:val="16"/>
      <w:szCs w:val="20"/>
    </w:rPr>
  </w:style>
  <w:style w:type="paragraph" w:customStyle="1" w:styleId="146">
    <w:name w:val="图形标题"/>
    <w:basedOn w:val="19"/>
    <w:qFormat/>
    <w:uiPriority w:val="0"/>
    <w:pPr>
      <w:spacing w:before="0" w:after="0"/>
      <w:jc w:val="center"/>
    </w:pPr>
    <w:rPr>
      <w:rFonts w:ascii="宋体" w:hAnsi="Plotter" w:eastAsia="宋体"/>
      <w:sz w:val="21"/>
    </w:rPr>
  </w:style>
  <w:style w:type="paragraph" w:customStyle="1" w:styleId="147">
    <w:name w:val="纯文本1"/>
    <w:basedOn w:val="1"/>
    <w:qFormat/>
    <w:uiPriority w:val="0"/>
    <w:pPr>
      <w:autoSpaceDE w:val="0"/>
      <w:autoSpaceDN w:val="0"/>
      <w:adjustRightInd w:val="0"/>
      <w:textAlignment w:val="baseline"/>
    </w:pPr>
    <w:rPr>
      <w:rFonts w:ascii="宋体"/>
      <w:kern w:val="0"/>
      <w:szCs w:val="20"/>
    </w:rPr>
  </w:style>
  <w:style w:type="paragraph" w:customStyle="1" w:styleId="148">
    <w:name w:val="xl34"/>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color w:val="000000"/>
      <w:kern w:val="0"/>
      <w:sz w:val="20"/>
      <w:szCs w:val="20"/>
    </w:rPr>
  </w:style>
  <w:style w:type="paragraph" w:customStyle="1" w:styleId="149">
    <w:name w:val="节小标题"/>
    <w:basedOn w:val="10"/>
    <w:qFormat/>
    <w:uiPriority w:val="0"/>
    <w:pPr>
      <w:keepLines/>
      <w:widowControl w:val="0"/>
      <w:overflowPunct/>
      <w:autoSpaceDE/>
      <w:autoSpaceDN/>
      <w:snapToGrid w:val="0"/>
      <w:spacing w:before="100" w:line="300" w:lineRule="auto"/>
      <w:ind w:left="0" w:right="0" w:firstLine="359"/>
      <w:jc w:val="both"/>
      <w:textAlignment w:val="auto"/>
      <w:outlineLvl w:val="9"/>
    </w:pPr>
    <w:rPr>
      <w:rFonts w:ascii="Times New Roman" w:eastAsia="仿宋_GB2312"/>
      <w:b w:val="0"/>
      <w:kern w:val="2"/>
      <w:sz w:val="30"/>
    </w:rPr>
  </w:style>
  <w:style w:type="paragraph" w:customStyle="1" w:styleId="150">
    <w:name w:val="xl52"/>
    <w:basedOn w:val="1"/>
    <w:qFormat/>
    <w:uiPriority w:val="0"/>
    <w:pPr>
      <w:widowControl/>
      <w:pBdr>
        <w:left w:val="single" w:color="auto" w:sz="4" w:space="0"/>
        <w:right w:val="single" w:color="auto" w:sz="4" w:space="0"/>
      </w:pBdr>
      <w:shd w:val="clear" w:color="auto" w:fill="C0C0C0"/>
      <w:spacing w:before="100" w:beforeAutospacing="1" w:after="100" w:afterAutospacing="1"/>
      <w:jc w:val="center"/>
      <w:textAlignment w:val="center"/>
    </w:pPr>
    <w:rPr>
      <w:kern w:val="0"/>
      <w:sz w:val="16"/>
      <w:szCs w:val="20"/>
    </w:rPr>
  </w:style>
  <w:style w:type="paragraph" w:customStyle="1" w:styleId="151">
    <w:name w:val="xl29"/>
    <w:basedOn w:val="1"/>
    <w:uiPriority w:val="0"/>
    <w:pPr>
      <w:widowControl/>
      <w:pBdr>
        <w:top w:val="single" w:color="auto" w:sz="4" w:space="0"/>
        <w:left w:val="single" w:color="auto" w:sz="4" w:space="0"/>
        <w:bottom w:val="single" w:color="auto" w:sz="4" w:space="0"/>
        <w:right w:val="single" w:color="auto" w:sz="4" w:space="0"/>
      </w:pBdr>
      <w:shd w:val="clear" w:color="auto" w:fill="C0C0C0"/>
      <w:spacing w:before="100" w:beforeAutospacing="1" w:after="100" w:afterAutospacing="1"/>
      <w:jc w:val="center"/>
      <w:textAlignment w:val="center"/>
    </w:pPr>
    <w:rPr>
      <w:kern w:val="0"/>
      <w:sz w:val="16"/>
      <w:szCs w:val="20"/>
    </w:rPr>
  </w:style>
  <w:style w:type="paragraph" w:customStyle="1" w:styleId="152">
    <w:name w:val="xl53"/>
    <w:basedOn w:val="1"/>
    <w:qFormat/>
    <w:uiPriority w:val="0"/>
    <w:pPr>
      <w:widowControl/>
      <w:pBdr>
        <w:left w:val="single" w:color="auto" w:sz="4" w:space="0"/>
        <w:bottom w:val="single" w:color="auto" w:sz="4" w:space="0"/>
        <w:right w:val="single" w:color="auto" w:sz="4" w:space="0"/>
      </w:pBdr>
      <w:shd w:val="clear" w:color="auto" w:fill="C0C0C0"/>
      <w:spacing w:before="100" w:beforeAutospacing="1" w:after="100" w:afterAutospacing="1"/>
      <w:jc w:val="center"/>
      <w:textAlignment w:val="center"/>
    </w:pPr>
    <w:rPr>
      <w:kern w:val="0"/>
      <w:sz w:val="16"/>
      <w:szCs w:val="20"/>
    </w:rPr>
  </w:style>
  <w:style w:type="paragraph" w:customStyle="1" w:styleId="153">
    <w:name w:val="xl55"/>
    <w:basedOn w:val="1"/>
    <w:qFormat/>
    <w:uiPriority w:val="0"/>
    <w:pPr>
      <w:widowControl/>
      <w:pBdr>
        <w:left w:val="single" w:color="auto" w:sz="4" w:space="0"/>
        <w:bottom w:val="single" w:color="auto" w:sz="4" w:space="0"/>
        <w:right w:val="single" w:color="auto" w:sz="4" w:space="0"/>
      </w:pBdr>
      <w:shd w:val="clear" w:color="auto" w:fill="C0C0C0"/>
      <w:spacing w:before="100" w:beforeAutospacing="1" w:after="100" w:afterAutospacing="1"/>
      <w:jc w:val="center"/>
      <w:textAlignment w:val="center"/>
    </w:pPr>
    <w:rPr>
      <w:kern w:val="0"/>
      <w:sz w:val="16"/>
      <w:szCs w:val="20"/>
    </w:rPr>
  </w:style>
  <w:style w:type="paragraph" w:customStyle="1" w:styleId="154">
    <w:name w:val="文1"/>
    <w:basedOn w:val="1"/>
    <w:qFormat/>
    <w:uiPriority w:val="0"/>
    <w:pPr>
      <w:tabs>
        <w:tab w:val="left" w:pos="360"/>
        <w:tab w:val="left" w:pos="1114"/>
      </w:tabs>
      <w:adjustRightInd w:val="0"/>
      <w:spacing w:line="500" w:lineRule="atLeast"/>
      <w:ind w:left="360" w:hanging="360"/>
      <w:textAlignment w:val="baseline"/>
    </w:pPr>
    <w:rPr>
      <w:rFonts w:ascii="黑体" w:eastAsia="黑体"/>
      <w:kern w:val="0"/>
      <w:sz w:val="28"/>
      <w:szCs w:val="20"/>
    </w:rPr>
  </w:style>
  <w:style w:type="paragraph" w:customStyle="1" w:styleId="155">
    <w:name w:val="jl 正文"/>
    <w:basedOn w:val="1"/>
    <w:qFormat/>
    <w:uiPriority w:val="0"/>
    <w:pPr>
      <w:autoSpaceDE w:val="0"/>
      <w:autoSpaceDN w:val="0"/>
      <w:adjustRightInd w:val="0"/>
      <w:ind w:firstLine="200" w:firstLineChars="200"/>
      <w:jc w:val="left"/>
      <w:textAlignment w:val="baseline"/>
    </w:pPr>
    <w:rPr>
      <w:rFonts w:ascii="宋体"/>
      <w:kern w:val="0"/>
      <w:sz w:val="24"/>
    </w:rPr>
  </w:style>
  <w:style w:type="paragraph" w:customStyle="1" w:styleId="156">
    <w:name w:val="目录new"/>
    <w:basedOn w:val="1"/>
    <w:qFormat/>
    <w:uiPriority w:val="0"/>
    <w:pPr>
      <w:tabs>
        <w:tab w:val="left" w:leader="dot" w:pos="9240"/>
      </w:tabs>
      <w:adjustRightInd w:val="0"/>
      <w:spacing w:line="312" w:lineRule="atLeast"/>
      <w:jc w:val="center"/>
      <w:textAlignment w:val="baseline"/>
    </w:pPr>
    <w:rPr>
      <w:rFonts w:ascii="宋体" w:hAnsi="宋体"/>
      <w:spacing w:val="10"/>
      <w:kern w:val="0"/>
      <w:sz w:val="24"/>
      <w:szCs w:val="20"/>
    </w:rPr>
  </w:style>
  <w:style w:type="paragraph" w:customStyle="1" w:styleId="157">
    <w:name w:val="样式2"/>
    <w:basedOn w:val="121"/>
    <w:qFormat/>
    <w:uiPriority w:val="0"/>
    <w:pPr>
      <w:tabs>
        <w:tab w:val="left" w:pos="2160"/>
      </w:tabs>
      <w:adjustRightInd w:val="0"/>
      <w:spacing w:before="320" w:after="160" w:line="490" w:lineRule="exact"/>
      <w:textAlignment w:val="baseline"/>
    </w:pPr>
    <w:rPr>
      <w:rFonts w:ascii="黑体" w:eastAsia="黑体"/>
      <w:kern w:val="0"/>
    </w:rPr>
  </w:style>
  <w:style w:type="paragraph" w:customStyle="1" w:styleId="158">
    <w:name w:val="font0"/>
    <w:basedOn w:val="1"/>
    <w:uiPriority w:val="0"/>
    <w:pPr>
      <w:widowControl/>
      <w:spacing w:before="100" w:beforeAutospacing="1" w:after="100" w:afterAutospacing="1"/>
      <w:jc w:val="left"/>
    </w:pPr>
    <w:rPr>
      <w:rFonts w:hint="eastAsia" w:ascii="宋体"/>
      <w:kern w:val="0"/>
      <w:sz w:val="24"/>
      <w:szCs w:val="20"/>
    </w:rPr>
  </w:style>
  <w:style w:type="paragraph" w:customStyle="1" w:styleId="159">
    <w:name w:val="xl24"/>
    <w:basedOn w:val="1"/>
    <w:qFormat/>
    <w:uiPriority w:val="0"/>
    <w:pPr>
      <w:widowControl/>
      <w:pBdr>
        <w:top w:val="single" w:color="auto" w:sz="4" w:space="0"/>
        <w:left w:val="single" w:color="auto" w:sz="4" w:space="0"/>
        <w:bottom w:val="single" w:color="auto" w:sz="4" w:space="0"/>
        <w:right w:val="single" w:color="auto" w:sz="4" w:space="0"/>
      </w:pBdr>
      <w:shd w:val="clear" w:color="auto" w:fill="C0C0C0"/>
      <w:spacing w:before="100" w:beforeAutospacing="1" w:after="100" w:afterAutospacing="1"/>
      <w:jc w:val="center"/>
    </w:pPr>
    <w:rPr>
      <w:kern w:val="0"/>
      <w:sz w:val="16"/>
      <w:szCs w:val="20"/>
    </w:rPr>
  </w:style>
  <w:style w:type="paragraph" w:customStyle="1" w:styleId="160">
    <w:name w:val="p82"/>
    <w:basedOn w:val="1"/>
    <w:qFormat/>
    <w:uiPriority w:val="0"/>
    <w:pPr>
      <w:widowControl/>
      <w:tabs>
        <w:tab w:val="left" w:pos="460"/>
      </w:tabs>
      <w:overflowPunct w:val="0"/>
      <w:autoSpaceDE w:val="0"/>
      <w:autoSpaceDN w:val="0"/>
      <w:adjustRightInd w:val="0"/>
      <w:spacing w:line="320" w:lineRule="atLeast"/>
      <w:textAlignment w:val="baseline"/>
    </w:pPr>
    <w:rPr>
      <w:kern w:val="0"/>
      <w:sz w:val="24"/>
      <w:szCs w:val="20"/>
      <w:lang w:val="en-GB"/>
    </w:rPr>
  </w:style>
  <w:style w:type="paragraph" w:customStyle="1" w:styleId="161">
    <w:name w:val="xl54"/>
    <w:basedOn w:val="1"/>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kern w:val="0"/>
      <w:sz w:val="20"/>
      <w:szCs w:val="20"/>
    </w:rPr>
  </w:style>
  <w:style w:type="paragraph" w:customStyle="1" w:styleId="162">
    <w:name w:val="xl39"/>
    <w:basedOn w:val="1"/>
    <w:qFormat/>
    <w:uiPriority w:val="0"/>
    <w:pPr>
      <w:widowControl/>
      <w:pBdr>
        <w:top w:val="single" w:color="auto" w:sz="4" w:space="0"/>
        <w:left w:val="single" w:color="auto" w:sz="4" w:space="0"/>
        <w:right w:val="single" w:color="auto" w:sz="4" w:space="0"/>
      </w:pBdr>
      <w:spacing w:before="100" w:beforeAutospacing="1" w:after="100" w:afterAutospacing="1"/>
      <w:jc w:val="center"/>
      <w:textAlignment w:val="center"/>
    </w:pPr>
    <w:rPr>
      <w:kern w:val="0"/>
      <w:sz w:val="16"/>
      <w:szCs w:val="20"/>
    </w:rPr>
  </w:style>
  <w:style w:type="paragraph" w:customStyle="1" w:styleId="163">
    <w:name w:val="样式5"/>
    <w:qFormat/>
    <w:uiPriority w:val="0"/>
    <w:pPr>
      <w:snapToGrid w:val="0"/>
      <w:spacing w:before="160" w:after="40"/>
      <w:jc w:val="center"/>
    </w:pPr>
    <w:rPr>
      <w:rFonts w:ascii="Times New Roman" w:hAnsi="Times New Roman" w:eastAsia="宋体" w:cs="Times New Roman"/>
      <w:kern w:val="2"/>
      <w:sz w:val="18"/>
      <w:lang w:val="en-US" w:eastAsia="zh-CN" w:bidi="ar-SA"/>
    </w:rPr>
  </w:style>
  <w:style w:type="paragraph" w:customStyle="1" w:styleId="164">
    <w:name w:val="样式 首行缩进:  0 厘米 行距: 单倍行距"/>
    <w:basedOn w:val="1"/>
    <w:qFormat/>
    <w:uiPriority w:val="0"/>
    <w:pPr>
      <w:adjustRightInd w:val="0"/>
      <w:textAlignment w:val="baseline"/>
    </w:pPr>
    <w:rPr>
      <w:kern w:val="0"/>
      <w:szCs w:val="20"/>
    </w:rPr>
  </w:style>
  <w:style w:type="paragraph" w:customStyle="1" w:styleId="165">
    <w:name w:val="jl 正文 Char Char"/>
    <w:basedOn w:val="1"/>
    <w:qFormat/>
    <w:uiPriority w:val="0"/>
    <w:pPr>
      <w:autoSpaceDE w:val="0"/>
      <w:autoSpaceDN w:val="0"/>
      <w:adjustRightInd w:val="0"/>
      <w:ind w:firstLine="200" w:firstLineChars="200"/>
      <w:jc w:val="left"/>
      <w:textAlignment w:val="baseline"/>
    </w:pPr>
    <w:rPr>
      <w:rFonts w:ascii="宋体"/>
      <w:sz w:val="24"/>
    </w:rPr>
  </w:style>
  <w:style w:type="paragraph" w:customStyle="1" w:styleId="166">
    <w:name w:val="默认段落字体 Para Char Char Char Char"/>
    <w:basedOn w:val="1"/>
    <w:qFormat/>
    <w:uiPriority w:val="0"/>
    <w:rPr>
      <w:rFonts w:ascii="宋体" w:hAnsi="宋体"/>
      <w:b/>
      <w:color w:val="000000"/>
      <w:sz w:val="24"/>
      <w:szCs w:val="20"/>
    </w:rPr>
  </w:style>
  <w:style w:type="paragraph" w:customStyle="1" w:styleId="167">
    <w:name w:val="附录"/>
    <w:basedOn w:val="2"/>
    <w:qFormat/>
    <w:uiPriority w:val="0"/>
    <w:pPr>
      <w:topLinePunct/>
      <w:adjustRightInd/>
      <w:spacing w:before="0" w:after="0" w:line="960" w:lineRule="auto"/>
      <w:ind w:firstLine="420"/>
      <w:jc w:val="center"/>
      <w:textAlignment w:val="baseline"/>
    </w:pPr>
    <w:rPr>
      <w:rFonts w:hAnsi="Bodoni MT" w:eastAsia="黑体"/>
      <w:b w:val="0"/>
      <w:kern w:val="2"/>
      <w:sz w:val="28"/>
    </w:rPr>
  </w:style>
  <w:style w:type="paragraph" w:customStyle="1" w:styleId="168">
    <w:name w:val="Char Char Char Char Char Char"/>
    <w:basedOn w:val="1"/>
    <w:qFormat/>
    <w:uiPriority w:val="0"/>
    <w:rPr>
      <w:szCs w:val="20"/>
    </w:rPr>
  </w:style>
  <w:style w:type="paragraph" w:customStyle="1" w:styleId="169">
    <w:name w:val="xl45"/>
    <w:basedOn w:val="1"/>
    <w:qFormat/>
    <w:uiPriority w:val="0"/>
    <w:pPr>
      <w:widowControl/>
      <w:pBdr>
        <w:left w:val="single" w:color="auto" w:sz="4" w:space="0"/>
        <w:right w:val="single" w:color="auto" w:sz="4" w:space="0"/>
      </w:pBdr>
      <w:shd w:val="clear" w:color="auto" w:fill="C0C0C0"/>
      <w:spacing w:before="100" w:beforeAutospacing="1" w:after="100" w:afterAutospacing="1"/>
      <w:jc w:val="center"/>
      <w:textAlignment w:val="center"/>
    </w:pPr>
    <w:rPr>
      <w:color w:val="000000"/>
      <w:kern w:val="0"/>
      <w:sz w:val="16"/>
      <w:szCs w:val="20"/>
    </w:rPr>
  </w:style>
  <w:style w:type="paragraph" w:customStyle="1" w:styleId="170">
    <w:name w:val="样式4"/>
    <w:basedOn w:val="120"/>
    <w:qFormat/>
    <w:uiPriority w:val="0"/>
  </w:style>
  <w:style w:type="paragraph" w:customStyle="1" w:styleId="171">
    <w:name w:val="xl36"/>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color w:val="000000"/>
      <w:kern w:val="0"/>
      <w:sz w:val="20"/>
      <w:szCs w:val="20"/>
    </w:rPr>
  </w:style>
  <w:style w:type="paragraph" w:customStyle="1" w:styleId="172">
    <w:name w:val="Char Char Char"/>
    <w:basedOn w:val="1"/>
    <w:qFormat/>
    <w:uiPriority w:val="0"/>
    <w:rPr>
      <w:szCs w:val="20"/>
    </w:rPr>
  </w:style>
  <w:style w:type="paragraph" w:customStyle="1" w:styleId="173">
    <w:name w:val="文"/>
    <w:basedOn w:val="1"/>
    <w:qFormat/>
    <w:uiPriority w:val="0"/>
    <w:pPr>
      <w:adjustRightInd w:val="0"/>
      <w:spacing w:line="500" w:lineRule="atLeast"/>
      <w:ind w:firstLine="540"/>
      <w:textAlignment w:val="baseline"/>
    </w:pPr>
    <w:rPr>
      <w:kern w:val="0"/>
      <w:sz w:val="28"/>
      <w:szCs w:val="20"/>
    </w:rPr>
  </w:style>
  <w:style w:type="paragraph" w:customStyle="1" w:styleId="174">
    <w:name w:val="Char Char Char Char Char Char1 Char Char Char Char Char Char Char Char Char Char Char Char Char Char Char Char Char Char Char Char Char Char Char Char Char Char Char Char Char Char Char"/>
    <w:basedOn w:val="1"/>
    <w:qFormat/>
    <w:uiPriority w:val="0"/>
  </w:style>
  <w:style w:type="paragraph" w:customStyle="1" w:styleId="175">
    <w:name w:val="标题 3 + 小四 段前: 0 磅 段后: 0 磅 行距: 1.5 倍行距"/>
    <w:basedOn w:val="4"/>
    <w:next w:val="4"/>
    <w:qFormat/>
    <w:uiPriority w:val="0"/>
    <w:pPr>
      <w:autoSpaceDE/>
      <w:autoSpaceDN/>
      <w:adjustRightInd/>
      <w:spacing w:before="0" w:after="0" w:line="360" w:lineRule="auto"/>
      <w:textAlignment w:val="auto"/>
    </w:pPr>
    <w:rPr>
      <w:rFonts w:ascii="Times New Roman" w:hAnsi="Times New Roman" w:eastAsia="宋体"/>
      <w:b/>
      <w:kern w:val="2"/>
      <w:sz w:val="24"/>
    </w:rPr>
  </w:style>
  <w:style w:type="paragraph" w:customStyle="1" w:styleId="176">
    <w:name w:val="表文"/>
    <w:basedOn w:val="1"/>
    <w:uiPriority w:val="0"/>
    <w:pPr>
      <w:topLinePunct/>
      <w:spacing w:before="40" w:after="40"/>
    </w:pPr>
    <w:rPr>
      <w:sz w:val="18"/>
      <w:szCs w:val="20"/>
    </w:rPr>
  </w:style>
  <w:style w:type="paragraph" w:customStyle="1" w:styleId="177">
    <w:name w:val="xl48"/>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kern w:val="0"/>
      <w:sz w:val="20"/>
      <w:szCs w:val="20"/>
    </w:rPr>
  </w:style>
  <w:style w:type="paragraph" w:customStyle="1" w:styleId="178">
    <w:name w:val="正文1"/>
    <w:basedOn w:val="121"/>
    <w:qFormat/>
    <w:uiPriority w:val="0"/>
    <w:pPr>
      <w:tabs>
        <w:tab w:val="left" w:pos="2160"/>
      </w:tabs>
      <w:adjustRightInd w:val="0"/>
      <w:spacing w:line="490" w:lineRule="exact"/>
      <w:jc w:val="center"/>
      <w:textAlignment w:val="baseline"/>
    </w:pPr>
    <w:rPr>
      <w:rFonts w:ascii="仿宋_GB2312" w:eastAsia="仿宋_GB2312"/>
      <w:kern w:val="0"/>
      <w:sz w:val="34"/>
    </w:rPr>
  </w:style>
  <w:style w:type="paragraph" w:customStyle="1" w:styleId="179">
    <w:name w:val="font7"/>
    <w:basedOn w:val="1"/>
    <w:qFormat/>
    <w:uiPriority w:val="0"/>
    <w:pPr>
      <w:widowControl/>
      <w:spacing w:before="100" w:beforeAutospacing="1" w:after="100" w:afterAutospacing="1"/>
      <w:jc w:val="left"/>
    </w:pPr>
    <w:rPr>
      <w:color w:val="000000"/>
      <w:kern w:val="0"/>
      <w:sz w:val="20"/>
      <w:szCs w:val="20"/>
    </w:rPr>
  </w:style>
  <w:style w:type="paragraph" w:customStyle="1" w:styleId="180">
    <w:name w:val="xl56"/>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kern w:val="0"/>
      <w:sz w:val="20"/>
      <w:szCs w:val="20"/>
    </w:rPr>
  </w:style>
  <w:style w:type="paragraph" w:customStyle="1" w:styleId="181">
    <w:name w:val="图说"/>
    <w:basedOn w:val="1"/>
    <w:qFormat/>
    <w:uiPriority w:val="0"/>
    <w:pPr>
      <w:topLinePunct/>
      <w:spacing w:before="40" w:after="160"/>
      <w:jc w:val="center"/>
    </w:pPr>
    <w:rPr>
      <w:sz w:val="18"/>
      <w:szCs w:val="20"/>
    </w:rPr>
  </w:style>
  <w:style w:type="paragraph" w:customStyle="1" w:styleId="182">
    <w:name w:val="xl35"/>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kern w:val="0"/>
      <w:sz w:val="20"/>
      <w:szCs w:val="20"/>
    </w:rPr>
  </w:style>
  <w:style w:type="paragraph" w:customStyle="1" w:styleId="183">
    <w:name w:val="xl37"/>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kern w:val="0"/>
      <w:sz w:val="20"/>
      <w:szCs w:val="20"/>
    </w:rPr>
  </w:style>
  <w:style w:type="paragraph" w:customStyle="1" w:styleId="184">
    <w:name w:val="文2"/>
    <w:basedOn w:val="1"/>
    <w:qFormat/>
    <w:uiPriority w:val="0"/>
    <w:pPr>
      <w:tabs>
        <w:tab w:val="left" w:pos="840"/>
        <w:tab w:val="left" w:pos="1234"/>
      </w:tabs>
      <w:adjustRightInd w:val="0"/>
      <w:spacing w:line="500" w:lineRule="atLeast"/>
      <w:ind w:left="840" w:hanging="420"/>
      <w:textAlignment w:val="baseline"/>
    </w:pPr>
    <w:rPr>
      <w:kern w:val="0"/>
      <w:sz w:val="28"/>
      <w:szCs w:val="20"/>
    </w:rPr>
  </w:style>
  <w:style w:type="paragraph" w:customStyle="1" w:styleId="185">
    <w:name w:val="样式 标题 1 + 加粗"/>
    <w:basedOn w:val="2"/>
    <w:qFormat/>
    <w:uiPriority w:val="0"/>
    <w:pPr>
      <w:adjustRightInd/>
      <w:spacing w:beforeLines="100" w:afterLines="100" w:line="240" w:lineRule="auto"/>
    </w:pPr>
    <w:rPr>
      <w:rFonts w:eastAsia="黑体"/>
      <w:bCs/>
      <w:sz w:val="28"/>
      <w:szCs w:val="28"/>
    </w:rPr>
  </w:style>
  <w:style w:type="paragraph" w:customStyle="1" w:styleId="186">
    <w:name w:val="标题1"/>
    <w:uiPriority w:val="0"/>
    <w:pPr>
      <w:jc w:val="center"/>
    </w:pPr>
    <w:rPr>
      <w:rFonts w:ascii="方正姚体" w:hAnsi="Arial" w:eastAsia="方正姚体" w:cs="Times New Roman"/>
      <w:b/>
      <w:color w:val="000000"/>
      <w:kern w:val="2"/>
      <w:sz w:val="36"/>
      <w:lang w:val="en-US" w:eastAsia="zh-CN" w:bidi="ar-SA"/>
    </w:rPr>
  </w:style>
  <w:style w:type="paragraph" w:customStyle="1" w:styleId="187">
    <w:name w:val="xl44"/>
    <w:basedOn w:val="1"/>
    <w:qFormat/>
    <w:uiPriority w:val="0"/>
    <w:pPr>
      <w:widowControl/>
      <w:pBdr>
        <w:top w:val="single" w:color="auto" w:sz="4" w:space="0"/>
        <w:left w:val="single" w:color="auto" w:sz="4" w:space="0"/>
        <w:right w:val="single" w:color="auto" w:sz="4" w:space="0"/>
      </w:pBdr>
      <w:shd w:val="clear" w:color="auto" w:fill="C0C0C0"/>
      <w:spacing w:before="100" w:beforeAutospacing="1" w:after="100" w:afterAutospacing="1"/>
      <w:jc w:val="center"/>
      <w:textAlignment w:val="center"/>
    </w:pPr>
    <w:rPr>
      <w:color w:val="000000"/>
      <w:kern w:val="0"/>
      <w:sz w:val="16"/>
      <w:szCs w:val="20"/>
    </w:rPr>
  </w:style>
  <w:style w:type="paragraph" w:customStyle="1" w:styleId="188">
    <w:name w:val="xl25"/>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kern w:val="0"/>
      <w:sz w:val="16"/>
      <w:szCs w:val="20"/>
    </w:rPr>
  </w:style>
  <w:style w:type="paragraph" w:customStyle="1" w:styleId="189">
    <w:name w:val="xl33"/>
    <w:basedOn w:val="1"/>
    <w:qFormat/>
    <w:uiPriority w:val="0"/>
    <w:pPr>
      <w:widowControl/>
      <w:pBdr>
        <w:top w:val="single" w:color="auto" w:sz="4" w:space="0"/>
        <w:left w:val="single" w:color="auto" w:sz="4" w:space="0"/>
        <w:bottom w:val="single" w:color="auto" w:sz="4" w:space="0"/>
        <w:right w:val="single" w:color="auto" w:sz="4" w:space="0"/>
      </w:pBdr>
      <w:shd w:val="clear" w:color="auto" w:fill="C0C0C0"/>
      <w:spacing w:before="100" w:beforeAutospacing="1" w:after="100" w:afterAutospacing="1"/>
      <w:jc w:val="center"/>
      <w:textAlignment w:val="center"/>
    </w:pPr>
    <w:rPr>
      <w:color w:val="000000"/>
      <w:kern w:val="0"/>
      <w:sz w:val="16"/>
      <w:szCs w:val="20"/>
    </w:rPr>
  </w:style>
  <w:style w:type="paragraph" w:customStyle="1" w:styleId="190">
    <w:name w:val="xl31"/>
    <w:basedOn w:val="1"/>
    <w:uiPriority w:val="0"/>
    <w:pPr>
      <w:widowControl/>
      <w:pBdr>
        <w:top w:val="single" w:color="auto" w:sz="4" w:space="0"/>
        <w:left w:val="single" w:color="auto" w:sz="4" w:space="0"/>
        <w:bottom w:val="single" w:color="auto" w:sz="4" w:space="0"/>
        <w:right w:val="single" w:color="auto" w:sz="4" w:space="0"/>
      </w:pBdr>
      <w:shd w:val="clear" w:color="auto" w:fill="C0C0C0"/>
      <w:spacing w:before="100" w:beforeAutospacing="1" w:after="100" w:afterAutospacing="1"/>
      <w:jc w:val="center"/>
    </w:pPr>
    <w:rPr>
      <w:kern w:val="0"/>
      <w:sz w:val="16"/>
      <w:szCs w:val="20"/>
    </w:rPr>
  </w:style>
  <w:style w:type="paragraph" w:customStyle="1" w:styleId="191">
    <w:name w:val="文4"/>
    <w:basedOn w:val="1"/>
    <w:qFormat/>
    <w:uiPriority w:val="0"/>
    <w:pPr>
      <w:tabs>
        <w:tab w:val="left" w:pos="1680"/>
        <w:tab w:val="left" w:pos="2074"/>
      </w:tabs>
      <w:adjustRightInd w:val="0"/>
      <w:spacing w:line="500" w:lineRule="atLeast"/>
      <w:ind w:left="1680" w:hanging="420"/>
      <w:textAlignment w:val="baseline"/>
    </w:pPr>
    <w:rPr>
      <w:kern w:val="0"/>
      <w:sz w:val="28"/>
      <w:szCs w:val="20"/>
    </w:rPr>
  </w:style>
  <w:style w:type="character" w:customStyle="1" w:styleId="192">
    <w:name w:val="apple-style-span"/>
    <w:basedOn w:val="73"/>
    <w:uiPriority w:val="0"/>
  </w:style>
  <w:style w:type="paragraph" w:customStyle="1" w:styleId="193">
    <w:name w:val="列出段落1"/>
    <w:basedOn w:val="1"/>
    <w:qFormat/>
    <w:uiPriority w:val="0"/>
    <w:pPr>
      <w:ind w:firstLine="420" w:firstLineChars="200"/>
    </w:pPr>
    <w:rPr>
      <w:rFonts w:ascii="Calibri" w:hAnsi="Calibri"/>
      <w:szCs w:val="22"/>
    </w:rPr>
  </w:style>
  <w:style w:type="character" w:customStyle="1" w:styleId="194">
    <w:name w:val="apple-converted-space"/>
    <w:basedOn w:val="73"/>
    <w:qFormat/>
    <w:uiPriority w:val="0"/>
  </w:style>
  <w:style w:type="paragraph" w:styleId="195">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image" Target="media/image5.png"/><Relationship Id="rId8" Type="http://schemas.openxmlformats.org/officeDocument/2006/relationships/image" Target="media/image4.png"/><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customXml" Target="../customXml/item2.xml"/><Relationship Id="rId11" Type="http://schemas.openxmlformats.org/officeDocument/2006/relationships/numbering" Target="numbering.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2854CFE0-34BC-4C5B-8186-7E03F2075917}">
  <ds:schemaRefs/>
</ds:datastoreItem>
</file>

<file path=docProps/app.xml><?xml version="1.0" encoding="utf-8"?>
<Properties xmlns="http://schemas.openxmlformats.org/officeDocument/2006/extended-properties" xmlns:vt="http://schemas.openxmlformats.org/officeDocument/2006/docPropsVTypes">
  <Template>Normal.dotm</Template>
  <Company>Lenovo (Beijing) Limited</Company>
  <Pages>1</Pages>
  <Words>1519</Words>
  <Characters>8662</Characters>
  <Lines>72</Lines>
  <Paragraphs>20</Paragraphs>
  <TotalTime>0</TotalTime>
  <ScaleCrop>false</ScaleCrop>
  <LinksUpToDate>false</LinksUpToDate>
  <CharactersWithSpaces>10161</CharactersWithSpaces>
  <Application>WPS Office_11.1.0.8612_F1E327BC-269C-435d-A152-05C5408002CA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2017-06-04T03:12:00Z</dcterms:created>
  <dc:creator>陈峰</dc:creator>
  <cp:lastModifiedBy>gongyingM</cp:lastModifiedBy>
  <cp:lastPrinted>2014-04-17T05:10:00Z</cp:lastPrinted>
  <dcterms:modified xsi:type="dcterms:W3CDTF">2019-06-03T02:29:50Z</dcterms:modified>
  <dc:title>第一册  商务通用部分</dc:title>
  <cp:revision>40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2052-11.1.0.8612</vt:lpwstr>
  </property>
</Properties>
</file>